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A3C8F" w14:textId="1E3E6F1D" w:rsidR="00B77748" w:rsidRPr="004B4345" w:rsidRDefault="00B77748" w:rsidP="00B77748">
      <w:pPr>
        <w:pStyle w:val="CRCoverPage"/>
        <w:tabs>
          <w:tab w:val="right" w:pos="9639"/>
        </w:tabs>
        <w:spacing w:after="0"/>
        <w:rPr>
          <w:b/>
          <w:i/>
          <w:noProof/>
          <w:color w:val="000000" w:themeColor="text1"/>
          <w:sz w:val="28"/>
        </w:rPr>
      </w:pPr>
      <w:bookmarkStart w:id="0" w:name="historyclause"/>
      <w:r w:rsidRPr="004B4345">
        <w:rPr>
          <w:b/>
          <w:noProof/>
          <w:color w:val="000000" w:themeColor="text1"/>
          <w:sz w:val="24"/>
        </w:rPr>
        <w:t>3GPP TSG-</w:t>
      </w:r>
      <w:r w:rsidRPr="004B4345">
        <w:rPr>
          <w:b/>
          <w:noProof/>
          <w:color w:val="000000" w:themeColor="text1"/>
          <w:sz w:val="24"/>
        </w:rPr>
        <w:fldChar w:fldCharType="begin"/>
      </w:r>
      <w:r w:rsidRPr="004B4345">
        <w:rPr>
          <w:b/>
          <w:noProof/>
          <w:color w:val="000000" w:themeColor="text1"/>
          <w:sz w:val="24"/>
        </w:rPr>
        <w:instrText xml:space="preserve"> DOCPROPERTY  TSG/WGRef  \* MERGEFORMAT </w:instrText>
      </w:r>
      <w:r w:rsidRPr="004B4345">
        <w:rPr>
          <w:b/>
          <w:noProof/>
          <w:color w:val="000000" w:themeColor="text1"/>
          <w:sz w:val="24"/>
        </w:rPr>
        <w:fldChar w:fldCharType="separate"/>
      </w:r>
      <w:r w:rsidRPr="004B4345">
        <w:rPr>
          <w:b/>
          <w:noProof/>
          <w:color w:val="000000" w:themeColor="text1"/>
          <w:sz w:val="24"/>
        </w:rPr>
        <w:t>RAN4</w:t>
      </w:r>
      <w:r w:rsidRPr="004B4345">
        <w:rPr>
          <w:b/>
          <w:noProof/>
          <w:color w:val="000000" w:themeColor="text1"/>
          <w:sz w:val="24"/>
        </w:rPr>
        <w:fldChar w:fldCharType="end"/>
      </w:r>
      <w:r w:rsidRPr="004B4345">
        <w:rPr>
          <w:b/>
          <w:noProof/>
          <w:color w:val="000000" w:themeColor="text1"/>
          <w:sz w:val="24"/>
        </w:rPr>
        <w:t xml:space="preserve"> Meeting </w:t>
      </w:r>
      <w:r w:rsidRPr="004B4345">
        <w:rPr>
          <w:b/>
          <w:noProof/>
          <w:color w:val="000000" w:themeColor="text1"/>
          <w:sz w:val="24"/>
          <w:szCs w:val="24"/>
        </w:rPr>
        <w:t>#</w:t>
      </w:r>
      <w:r w:rsidRPr="004B4345">
        <w:rPr>
          <w:b/>
          <w:color w:val="000000" w:themeColor="text1"/>
          <w:sz w:val="24"/>
          <w:szCs w:val="24"/>
        </w:rPr>
        <w:t>11</w:t>
      </w:r>
      <w:r w:rsidR="003912EB">
        <w:rPr>
          <w:b/>
          <w:color w:val="000000" w:themeColor="text1"/>
          <w:sz w:val="24"/>
          <w:szCs w:val="24"/>
        </w:rPr>
        <w:t>7</w:t>
      </w:r>
      <w:r w:rsidRPr="004B4345">
        <w:rPr>
          <w:b/>
          <w:i/>
          <w:noProof/>
          <w:color w:val="000000" w:themeColor="text1"/>
          <w:sz w:val="28"/>
        </w:rPr>
        <w:tab/>
      </w:r>
      <w:r w:rsidR="001C71A4" w:rsidRPr="001C71A4">
        <w:rPr>
          <w:b/>
          <w:noProof/>
          <w:color w:val="000000" w:themeColor="text1"/>
          <w:sz w:val="24"/>
        </w:rPr>
        <w:t>R4-2520682</w:t>
      </w:r>
    </w:p>
    <w:p w14:paraId="456F64AD" w14:textId="080242EF" w:rsidR="00135619" w:rsidRPr="004B4345" w:rsidRDefault="003912EB" w:rsidP="00D309CC">
      <w:pPr>
        <w:tabs>
          <w:tab w:val="left" w:pos="2160"/>
        </w:tabs>
        <w:rPr>
          <w:rFonts w:ascii="Arial" w:hAnsi="Arial" w:cs="Arial"/>
          <w:b/>
          <w:noProof/>
          <w:color w:val="000000" w:themeColor="text1"/>
          <w:szCs w:val="20"/>
          <w:lang w:val="en-GB" w:eastAsia="en-US"/>
        </w:rPr>
      </w:pPr>
      <w:r w:rsidRPr="003912EB">
        <w:rPr>
          <w:rFonts w:ascii="Arial" w:hAnsi="Arial" w:cs="Arial"/>
          <w:b/>
          <w:noProof/>
          <w:color w:val="000000" w:themeColor="text1"/>
          <w:szCs w:val="20"/>
          <w:lang w:val="en-GB" w:eastAsia="en-US"/>
        </w:rPr>
        <w:t>Dallas, USA, Nov. 17-21, 2025</w:t>
      </w:r>
    </w:p>
    <w:p w14:paraId="74D48D19" w14:textId="77777777" w:rsidR="00B77748" w:rsidRPr="004B4345" w:rsidRDefault="00B77748" w:rsidP="00D309CC">
      <w:pPr>
        <w:tabs>
          <w:tab w:val="left" w:pos="2160"/>
        </w:tabs>
        <w:rPr>
          <w:rFonts w:ascii="Arial" w:hAnsi="Arial" w:cs="Arial"/>
          <w:b/>
          <w:color w:val="000000" w:themeColor="text1"/>
          <w:lang w:val="en-GB"/>
        </w:rPr>
      </w:pPr>
    </w:p>
    <w:p w14:paraId="6DDCE159" w14:textId="17026CF0" w:rsidR="00D309CC" w:rsidRPr="004B4345" w:rsidRDefault="00D309CC" w:rsidP="00D309CC">
      <w:pPr>
        <w:pStyle w:val="CH"/>
        <w:rPr>
          <w:b w:val="0"/>
          <w:color w:val="000000" w:themeColor="text1"/>
        </w:rPr>
      </w:pPr>
      <w:r w:rsidRPr="004B4345">
        <w:rPr>
          <w:color w:val="000000" w:themeColor="text1"/>
        </w:rPr>
        <w:t>Agenda item:</w:t>
      </w:r>
      <w:r w:rsidRPr="004B4345">
        <w:rPr>
          <w:color w:val="000000" w:themeColor="text1"/>
        </w:rPr>
        <w:tab/>
      </w:r>
      <w:r w:rsidR="00B81FF3">
        <w:rPr>
          <w:color w:val="000000" w:themeColor="text1"/>
        </w:rPr>
        <w:t>8</w:t>
      </w:r>
      <w:r w:rsidR="00F260A8" w:rsidRPr="004B4345">
        <w:rPr>
          <w:color w:val="000000" w:themeColor="text1"/>
        </w:rPr>
        <w:t>.</w:t>
      </w:r>
      <w:r w:rsidR="003912EB">
        <w:rPr>
          <w:color w:val="000000" w:themeColor="text1"/>
        </w:rPr>
        <w:t>2.1</w:t>
      </w:r>
    </w:p>
    <w:p w14:paraId="4DBE005A" w14:textId="32DE9276" w:rsidR="00D309CC" w:rsidRPr="004B4345" w:rsidRDefault="00D309CC" w:rsidP="00D309CC">
      <w:pPr>
        <w:pStyle w:val="CH"/>
        <w:rPr>
          <w:b w:val="0"/>
          <w:color w:val="000000" w:themeColor="text1"/>
        </w:rPr>
      </w:pPr>
      <w:r w:rsidRPr="004B4345">
        <w:rPr>
          <w:color w:val="000000" w:themeColor="text1"/>
        </w:rPr>
        <w:t>Source:</w:t>
      </w:r>
      <w:r w:rsidRPr="004B4345">
        <w:rPr>
          <w:color w:val="000000" w:themeColor="text1"/>
        </w:rPr>
        <w:tab/>
        <w:t>Apple</w:t>
      </w:r>
    </w:p>
    <w:p w14:paraId="0D2061A1" w14:textId="1B1DE648" w:rsidR="00D309CC" w:rsidRPr="004B4345" w:rsidRDefault="00D309CC" w:rsidP="00112D80">
      <w:pPr>
        <w:pStyle w:val="CH"/>
        <w:ind w:left="2268" w:hanging="2268"/>
        <w:rPr>
          <w:color w:val="000000" w:themeColor="text1"/>
        </w:rPr>
      </w:pPr>
      <w:r w:rsidRPr="004B4345">
        <w:rPr>
          <w:color w:val="000000" w:themeColor="text1"/>
        </w:rPr>
        <w:t>Title:</w:t>
      </w:r>
      <w:r w:rsidRPr="004B4345">
        <w:rPr>
          <w:color w:val="000000" w:themeColor="text1"/>
        </w:rPr>
        <w:tab/>
      </w:r>
      <w:r w:rsidR="002A23E7">
        <w:rPr>
          <w:color w:val="000000" w:themeColor="text1"/>
        </w:rPr>
        <w:t>On 6G system parameters</w:t>
      </w:r>
      <w:r w:rsidR="003912EB">
        <w:rPr>
          <w:color w:val="000000" w:themeColor="text1"/>
        </w:rPr>
        <w:t xml:space="preserve"> - Waveform</w:t>
      </w:r>
    </w:p>
    <w:p w14:paraId="2E4E044D" w14:textId="306BE6CD" w:rsidR="00D309CC" w:rsidRPr="004B4345" w:rsidRDefault="00D309CC" w:rsidP="00D309CC">
      <w:pPr>
        <w:pStyle w:val="CH"/>
        <w:rPr>
          <w:color w:val="000000" w:themeColor="text1"/>
        </w:rPr>
      </w:pPr>
      <w:r w:rsidRPr="004B4345">
        <w:rPr>
          <w:color w:val="000000" w:themeColor="text1"/>
        </w:rPr>
        <w:t>Document for:</w:t>
      </w:r>
      <w:r w:rsidRPr="004B4345">
        <w:rPr>
          <w:color w:val="000000" w:themeColor="text1"/>
        </w:rPr>
        <w:tab/>
      </w:r>
      <w:r w:rsidR="00F538FE" w:rsidRPr="004B4345">
        <w:rPr>
          <w:color w:val="000000" w:themeColor="text1"/>
        </w:rPr>
        <w:t>Discussion</w:t>
      </w:r>
    </w:p>
    <w:p w14:paraId="0207DB43" w14:textId="77777777" w:rsidR="00D46431" w:rsidRPr="004B4345" w:rsidRDefault="00D46431" w:rsidP="00D309CC">
      <w:pPr>
        <w:pStyle w:val="CH"/>
        <w:rPr>
          <w:b w:val="0"/>
          <w:color w:val="000000" w:themeColor="text1"/>
        </w:rPr>
      </w:pPr>
    </w:p>
    <w:p w14:paraId="0273524A" w14:textId="1D8BC476" w:rsidR="008E7986" w:rsidRPr="004B4345" w:rsidRDefault="00AC0039" w:rsidP="00AC0039">
      <w:pPr>
        <w:pStyle w:val="Heading1"/>
        <w:rPr>
          <w:color w:val="000000" w:themeColor="text1"/>
        </w:rPr>
      </w:pPr>
      <w:r w:rsidRPr="004B4345">
        <w:rPr>
          <w:color w:val="000000" w:themeColor="text1"/>
          <w:lang w:val="en-US"/>
        </w:rPr>
        <w:t>1</w:t>
      </w:r>
      <w:r w:rsidRPr="004B4345">
        <w:rPr>
          <w:color w:val="000000" w:themeColor="text1"/>
        </w:rPr>
        <w:tab/>
      </w:r>
      <w:r w:rsidR="008E7986" w:rsidRPr="004B4345">
        <w:rPr>
          <w:color w:val="000000" w:themeColor="text1"/>
        </w:rPr>
        <w:t xml:space="preserve">Introduction </w:t>
      </w:r>
    </w:p>
    <w:p w14:paraId="0C1A8191" w14:textId="01376B18" w:rsidR="00650EB8" w:rsidRDefault="00650EB8" w:rsidP="001D69B8">
      <w:pPr>
        <w:pStyle w:val="B1"/>
        <w:overflowPunct w:val="0"/>
        <w:autoSpaceDE w:val="0"/>
        <w:autoSpaceDN w:val="0"/>
        <w:adjustRightInd w:val="0"/>
        <w:spacing w:before="180" w:after="180"/>
        <w:ind w:left="0" w:firstLine="0"/>
        <w:textAlignment w:val="baseline"/>
        <w:rPr>
          <w:color w:val="000000" w:themeColor="text1"/>
          <w:sz w:val="20"/>
          <w:szCs w:val="20"/>
          <w:lang w:eastAsia="ja-JP"/>
        </w:rPr>
      </w:pPr>
      <w:r w:rsidRPr="004B4345">
        <w:rPr>
          <w:color w:val="000000" w:themeColor="text1"/>
          <w:sz w:val="20"/>
          <w:szCs w:val="20"/>
          <w:lang w:eastAsia="ja-JP"/>
        </w:rPr>
        <w:t xml:space="preserve">At </w:t>
      </w:r>
      <w:r w:rsidR="003912EB">
        <w:rPr>
          <w:color w:val="000000" w:themeColor="text1"/>
          <w:sz w:val="20"/>
          <w:szCs w:val="20"/>
          <w:lang w:eastAsia="ja-JP"/>
        </w:rPr>
        <w:t xml:space="preserve">the last meeting, </w:t>
      </w:r>
      <w:r w:rsidR="00F12C7B">
        <w:rPr>
          <w:color w:val="000000" w:themeColor="text1"/>
          <w:sz w:val="20"/>
          <w:szCs w:val="20"/>
          <w:lang w:eastAsia="ja-JP"/>
        </w:rPr>
        <w:t>RAN4 started 6G discussion. A</w:t>
      </w:r>
      <w:r w:rsidR="003912EB">
        <w:rPr>
          <w:color w:val="000000" w:themeColor="text1"/>
          <w:sz w:val="20"/>
          <w:szCs w:val="20"/>
          <w:lang w:eastAsia="ja-JP"/>
        </w:rPr>
        <w:t xml:space="preserve"> WF on 6G system parameters was agreed</w:t>
      </w:r>
      <w:r w:rsidR="00AF42F5" w:rsidRPr="004B4345">
        <w:rPr>
          <w:color w:val="000000" w:themeColor="text1"/>
          <w:sz w:val="20"/>
          <w:szCs w:val="20"/>
          <w:lang w:eastAsia="ja-JP"/>
        </w:rPr>
        <w:t xml:space="preserve"> [1]</w:t>
      </w:r>
      <w:r w:rsidRPr="004B4345">
        <w:rPr>
          <w:color w:val="000000" w:themeColor="text1"/>
          <w:sz w:val="20"/>
          <w:szCs w:val="20"/>
          <w:lang w:eastAsia="ja-JP"/>
        </w:rPr>
        <w:t xml:space="preserve">, </w:t>
      </w:r>
      <w:r w:rsidR="003912EB">
        <w:rPr>
          <w:color w:val="000000" w:themeColor="text1"/>
          <w:sz w:val="20"/>
          <w:szCs w:val="20"/>
          <w:lang w:eastAsia="ja-JP"/>
        </w:rPr>
        <w:t>including the following aspects on waveform</w:t>
      </w:r>
      <w:r w:rsidRPr="004B4345">
        <w:rPr>
          <w:color w:val="000000" w:themeColor="text1"/>
          <w:sz w:val="20"/>
          <w:szCs w:val="20"/>
          <w:lang w:eastAsia="ja-JP"/>
        </w:rPr>
        <w:t>:</w:t>
      </w:r>
    </w:p>
    <w:tbl>
      <w:tblPr>
        <w:tblStyle w:val="TableGrid"/>
        <w:tblpPr w:leftFromText="187" w:rightFromText="187" w:vertAnchor="text" w:tblpY="1"/>
        <w:tblOverlap w:val="never"/>
        <w:tblW w:w="0" w:type="auto"/>
        <w:tblLook w:val="04A0" w:firstRow="1" w:lastRow="0" w:firstColumn="1" w:lastColumn="0" w:noHBand="0" w:noVBand="1"/>
      </w:tblPr>
      <w:tblGrid>
        <w:gridCol w:w="9631"/>
      </w:tblGrid>
      <w:tr w:rsidR="0066013F" w14:paraId="40341E53" w14:textId="77777777" w:rsidTr="00C805EA">
        <w:tc>
          <w:tcPr>
            <w:tcW w:w="9631" w:type="dxa"/>
          </w:tcPr>
          <w:p w14:paraId="318E22C9" w14:textId="77777777" w:rsidR="0066013F" w:rsidRPr="003912EB" w:rsidRDefault="0066013F" w:rsidP="00C805EA">
            <w:pPr>
              <w:pStyle w:val="Heading1"/>
              <w:numPr>
                <w:ilvl w:val="0"/>
                <w:numId w:val="59"/>
              </w:numPr>
              <w:tabs>
                <w:tab w:val="num" w:pos="360"/>
              </w:tabs>
              <w:ind w:left="360" w:hanging="360"/>
              <w:rPr>
                <w:sz w:val="20"/>
                <w:lang w:val="en-US" w:eastAsia="ja-JP"/>
              </w:rPr>
            </w:pPr>
            <w:r w:rsidRPr="003912EB">
              <w:rPr>
                <w:sz w:val="20"/>
                <w:lang w:val="en-US" w:eastAsia="ja-JP"/>
              </w:rPr>
              <w:t>Topic #1: Waveform</w:t>
            </w:r>
          </w:p>
          <w:p w14:paraId="34D949DE" w14:textId="77777777" w:rsidR="0066013F" w:rsidRPr="003912EB" w:rsidRDefault="0066013F" w:rsidP="00C805EA">
            <w:pPr>
              <w:rPr>
                <w:rFonts w:ascii="Arial" w:hAnsi="Arial"/>
                <w:vanish/>
                <w:sz w:val="20"/>
                <w:szCs w:val="20"/>
                <w:lang w:val="sv-SE"/>
              </w:rPr>
            </w:pPr>
            <w:r w:rsidRPr="003912EB">
              <w:rPr>
                <w:rFonts w:eastAsiaTheme="minorEastAsia"/>
                <w:sz w:val="20"/>
                <w:szCs w:val="20"/>
              </w:rPr>
              <w:t xml:space="preserve">NOTE: Main proposals in this document are based on inputs for this RAN4 meeting, which are served as reference for information and could be referred for some agreements in the WF. </w:t>
            </w:r>
          </w:p>
          <w:p w14:paraId="0EF3A31E" w14:textId="77777777" w:rsidR="0066013F" w:rsidRPr="003912EB" w:rsidRDefault="0066013F" w:rsidP="00C805EA">
            <w:pPr>
              <w:pStyle w:val="Heading2"/>
              <w:rPr>
                <w:sz w:val="20"/>
              </w:rPr>
            </w:pPr>
            <w:r w:rsidRPr="003912EB">
              <w:rPr>
                <w:rFonts w:hint="eastAsia"/>
                <w:sz w:val="20"/>
              </w:rPr>
              <w:t>Framework</w:t>
            </w:r>
            <w:r w:rsidRPr="003912EB">
              <w:rPr>
                <w:sz w:val="20"/>
              </w:rPr>
              <w:t xml:space="preserve"> study for waveform</w:t>
            </w:r>
          </w:p>
          <w:p w14:paraId="33C564BB" w14:textId="77777777" w:rsidR="0066013F" w:rsidRPr="003912EB" w:rsidRDefault="0066013F" w:rsidP="00C805EA">
            <w:pPr>
              <w:pStyle w:val="ListParagraph"/>
              <w:numPr>
                <w:ilvl w:val="0"/>
                <w:numId w:val="36"/>
              </w:numPr>
              <w:spacing w:after="120"/>
              <w:ind w:left="720"/>
              <w:contextualSpacing w:val="0"/>
              <w:rPr>
                <w:sz w:val="20"/>
                <w:szCs w:val="20"/>
              </w:rPr>
            </w:pPr>
            <w:r w:rsidRPr="003912EB">
              <w:rPr>
                <w:sz w:val="20"/>
                <w:szCs w:val="20"/>
              </w:rPr>
              <w:t>Main proposals</w:t>
            </w:r>
          </w:p>
          <w:p w14:paraId="36B62191" w14:textId="77777777" w:rsidR="0066013F" w:rsidRPr="003912EB" w:rsidRDefault="0066013F"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sz w:val="20"/>
                <w:szCs w:val="20"/>
              </w:rPr>
              <w:t>Close collaboration with RAN1</w:t>
            </w:r>
          </w:p>
          <w:p w14:paraId="04328408"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RAN4 must work closely with RAN1 to define evaluation methodologies, assumptions, and a common PA model for simulations.</w:t>
            </w:r>
          </w:p>
          <w:p w14:paraId="20FFDDE8"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Some proposals suggest postponing detailed RAN4 waveform discussions until 2026, after RAN1 has made sufficient progress.</w:t>
            </w:r>
          </w:p>
          <w:p w14:paraId="12F0CD33" w14:textId="77777777" w:rsidR="0066013F" w:rsidRPr="003912EB" w:rsidRDefault="0066013F"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sz w:val="20"/>
                <w:szCs w:val="20"/>
              </w:rPr>
              <w:t>Key Performance Indicators (KPIs)</w:t>
            </w:r>
          </w:p>
          <w:p w14:paraId="3AFCCEAE"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Waveform evaluation should include KPIs like PAPR, Cubic Metric (CM), SEM, ACLR, OBE, EVM, implementation complexity, and compatibility with 5G band combinations.</w:t>
            </w:r>
          </w:p>
          <w:p w14:paraId="0F91C90C" w14:textId="77777777" w:rsidR="0066013F" w:rsidRPr="003912EB" w:rsidRDefault="0066013F"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sz w:val="20"/>
                <w:szCs w:val="20"/>
              </w:rPr>
              <w:t>Evaluation metric</w:t>
            </w:r>
          </w:p>
          <w:p w14:paraId="66DA910C"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Propose using "Net Gain" as a starting point for evaluating low-PAPR schemes.</w:t>
            </w:r>
          </w:p>
          <w:p w14:paraId="69FB6255" w14:textId="77777777" w:rsidR="0066013F" w:rsidRPr="003912EB" w:rsidRDefault="0066013F"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sz w:val="20"/>
                <w:szCs w:val="20"/>
              </w:rPr>
              <w:t>Specific studies include:</w:t>
            </w:r>
          </w:p>
          <w:p w14:paraId="6BF84313"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Study Low-PAPR techniques: Investigate both transparent and non-transparent techniques (like CFR-SE) to reduce PAPR and assess their impact on RF requirements.</w:t>
            </w:r>
          </w:p>
          <w:p w14:paraId="2E3214D5"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Explore new waveforms for new use cases: Study the feasibility and impact of supporting DFT-s-OFDM in the DL (e.g., for massive IoT) and new waveforms for Integrated Sensing and Communications (ISAC).</w:t>
            </w:r>
          </w:p>
          <w:p w14:paraId="3EBBB591" w14:textId="77777777" w:rsidR="0066013F" w:rsidRPr="003912EB" w:rsidRDefault="0066013F" w:rsidP="00C805EA">
            <w:pPr>
              <w:pStyle w:val="ListParagraph"/>
              <w:numPr>
                <w:ilvl w:val="0"/>
                <w:numId w:val="36"/>
              </w:numPr>
              <w:spacing w:after="120"/>
              <w:ind w:left="720"/>
              <w:contextualSpacing w:val="0"/>
              <w:rPr>
                <w:sz w:val="20"/>
                <w:szCs w:val="20"/>
                <w:highlight w:val="green"/>
              </w:rPr>
            </w:pPr>
            <w:r w:rsidRPr="003912EB">
              <w:rPr>
                <w:sz w:val="20"/>
                <w:szCs w:val="20"/>
                <w:highlight w:val="green"/>
              </w:rPr>
              <w:t>Agreement</w:t>
            </w:r>
          </w:p>
          <w:p w14:paraId="423154C4" w14:textId="77777777" w:rsidR="0066013F" w:rsidRPr="003912EB" w:rsidRDefault="0066013F"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rFonts w:hint="eastAsia"/>
                <w:sz w:val="20"/>
                <w:szCs w:val="20"/>
              </w:rPr>
              <w:t>T</w:t>
            </w:r>
            <w:r w:rsidRPr="003912EB">
              <w:rPr>
                <w:sz w:val="20"/>
                <w:szCs w:val="20"/>
              </w:rPr>
              <w:t>he primary purpose of RAN4 study on waveform is to evaluate candidate waveforms and potential PAPR reduction techniques based on agreements and inputs from RAN1</w:t>
            </w:r>
          </w:p>
          <w:p w14:paraId="798DBBEA" w14:textId="77777777" w:rsidR="0066013F" w:rsidRPr="003912EB" w:rsidRDefault="0066013F"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sz w:val="20"/>
                <w:szCs w:val="20"/>
              </w:rPr>
              <w:t>To establish the foundational evaluation framework in RAN4 firstly, and RAN4 waveform study should focus on the following aspects</w:t>
            </w:r>
          </w:p>
          <w:p w14:paraId="4D6F029B"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Tx assumption including PA model</w:t>
            </w:r>
          </w:p>
          <w:p w14:paraId="36C3E53A" w14:textId="77777777" w:rsidR="0066013F" w:rsidRPr="003912EB" w:rsidRDefault="0066013F"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Related RF requirements which should be taken into consideration</w:t>
            </w:r>
          </w:p>
          <w:p w14:paraId="64445E7B"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Both UL and DL are considered</w:t>
            </w:r>
          </w:p>
          <w:p w14:paraId="2DE98F0B"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Take the candidate waveforms identified/discussed in RAN1 as the baseline</w:t>
            </w:r>
          </w:p>
          <w:p w14:paraId="74216439"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Identify the evaluation metric, e.g. net gain</w:t>
            </w:r>
          </w:p>
          <w:p w14:paraId="400EC6A2"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Implementation constraints</w:t>
            </w:r>
          </w:p>
          <w:p w14:paraId="11E70C4C" w14:textId="77777777" w:rsidR="00C805EA" w:rsidRPr="003912EB" w:rsidRDefault="00C805EA"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sz w:val="20"/>
                <w:szCs w:val="20"/>
              </w:rPr>
              <w:lastRenderedPageBreak/>
              <w:t>Model and evaluate the RF performance of different waveform candidates and PAPR reduction techniques pending on RAN1 inputs</w:t>
            </w:r>
          </w:p>
          <w:p w14:paraId="67CF721C"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Evaluation cases could be selected step-by-step, based on RAN1 progress</w:t>
            </w:r>
          </w:p>
          <w:p w14:paraId="1C598659" w14:textId="77777777" w:rsidR="00C805EA" w:rsidRPr="003912EB" w:rsidRDefault="00C805EA" w:rsidP="00C805EA">
            <w:pPr>
              <w:pStyle w:val="ListParagraph"/>
              <w:numPr>
                <w:ilvl w:val="2"/>
                <w:numId w:val="36"/>
              </w:numPr>
              <w:spacing w:after="120"/>
              <w:ind w:left="2376" w:hanging="360"/>
              <w:contextualSpacing w:val="0"/>
              <w:jc w:val="both"/>
              <w:rPr>
                <w:sz w:val="20"/>
                <w:szCs w:val="20"/>
              </w:rPr>
            </w:pPr>
            <w:r w:rsidRPr="003912EB">
              <w:rPr>
                <w:sz w:val="20"/>
                <w:szCs w:val="20"/>
              </w:rPr>
              <w:t>Whether to investigate RF impacts of DL DFT-s-OFDM pending on RAN1 agreement</w:t>
            </w:r>
          </w:p>
          <w:p w14:paraId="3183C692" w14:textId="77777777" w:rsidR="00C805EA" w:rsidRPr="003912EB" w:rsidRDefault="00C805EA" w:rsidP="00C805EA">
            <w:pPr>
              <w:rPr>
                <w:color w:val="0070C0"/>
                <w:sz w:val="20"/>
                <w:szCs w:val="20"/>
              </w:rPr>
            </w:pPr>
          </w:p>
          <w:p w14:paraId="27659865" w14:textId="77777777" w:rsidR="00C805EA" w:rsidRPr="003912EB" w:rsidRDefault="00C805EA" w:rsidP="00C805EA">
            <w:pPr>
              <w:rPr>
                <w:color w:val="0070C0"/>
                <w:sz w:val="20"/>
                <w:szCs w:val="20"/>
              </w:rPr>
            </w:pPr>
          </w:p>
          <w:p w14:paraId="7F942DDC" w14:textId="77777777" w:rsidR="00C805EA" w:rsidRPr="003912EB" w:rsidRDefault="00C805EA" w:rsidP="00C805EA">
            <w:pPr>
              <w:pStyle w:val="Heading2"/>
              <w:rPr>
                <w:sz w:val="20"/>
              </w:rPr>
            </w:pPr>
            <w:r w:rsidRPr="003912EB">
              <w:rPr>
                <w:rFonts w:hint="eastAsia"/>
                <w:sz w:val="20"/>
              </w:rPr>
              <w:t>P</w:t>
            </w:r>
            <w:r w:rsidRPr="003912EB">
              <w:rPr>
                <w:sz w:val="20"/>
              </w:rPr>
              <w:t>A model</w:t>
            </w:r>
          </w:p>
          <w:p w14:paraId="72B04296" w14:textId="77777777" w:rsidR="00C805EA" w:rsidRPr="003912EB" w:rsidRDefault="00C805EA" w:rsidP="00C805EA">
            <w:pPr>
              <w:pStyle w:val="ListParagraph"/>
              <w:numPr>
                <w:ilvl w:val="0"/>
                <w:numId w:val="36"/>
              </w:numPr>
              <w:spacing w:after="120"/>
              <w:ind w:left="720"/>
              <w:contextualSpacing w:val="0"/>
              <w:rPr>
                <w:sz w:val="20"/>
                <w:szCs w:val="20"/>
              </w:rPr>
            </w:pPr>
            <w:r w:rsidRPr="003912EB">
              <w:rPr>
                <w:sz w:val="20"/>
                <w:szCs w:val="20"/>
              </w:rPr>
              <w:t xml:space="preserve">Main proposals </w:t>
            </w:r>
          </w:p>
          <w:p w14:paraId="6EF76375" w14:textId="77777777" w:rsidR="00C805EA" w:rsidRPr="003912EB" w:rsidRDefault="00C805EA" w:rsidP="00C805EA">
            <w:pPr>
              <w:pStyle w:val="ListParagraph"/>
              <w:numPr>
                <w:ilvl w:val="1"/>
                <w:numId w:val="36"/>
              </w:numPr>
              <w:spacing w:after="120"/>
              <w:ind w:left="1440" w:hanging="360"/>
              <w:contextualSpacing w:val="0"/>
              <w:rPr>
                <w:sz w:val="20"/>
                <w:szCs w:val="20"/>
              </w:rPr>
            </w:pPr>
            <w:r w:rsidRPr="003912EB">
              <w:rPr>
                <w:sz w:val="20"/>
                <w:szCs w:val="20"/>
              </w:rPr>
              <w:t xml:space="preserve">Proposal: Study improved PA modelling. Further discuss considering </w:t>
            </w:r>
          </w:p>
          <w:p w14:paraId="23AF8028"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PA dimensioning (MPR-0)</w:t>
            </w:r>
          </w:p>
          <w:p w14:paraId="1ED453BA"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Pre-distortion</w:t>
            </w:r>
          </w:p>
          <w:p w14:paraId="529CCE33"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Memory effects</w:t>
            </w:r>
          </w:p>
          <w:p w14:paraId="649F6D3E"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APT PA model</w:t>
            </w:r>
          </w:p>
          <w:p w14:paraId="532EC0E2"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Doherty PA</w:t>
            </w:r>
          </w:p>
          <w:p w14:paraId="43AA8461"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PA model being based on each company’s own choice.</w:t>
            </w:r>
          </w:p>
          <w:p w14:paraId="7FA554C0"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Different PA models e.g. for IoT or FWA</w:t>
            </w:r>
          </w:p>
          <w:p w14:paraId="04B14FF3" w14:textId="77777777" w:rsidR="00C805EA" w:rsidRPr="003912EB" w:rsidRDefault="00C805EA" w:rsidP="00C805EA">
            <w:pPr>
              <w:pStyle w:val="ListParagraph"/>
              <w:numPr>
                <w:ilvl w:val="2"/>
                <w:numId w:val="36"/>
              </w:numPr>
              <w:spacing w:after="120"/>
              <w:ind w:left="2376" w:hanging="360"/>
              <w:contextualSpacing w:val="0"/>
              <w:rPr>
                <w:sz w:val="20"/>
                <w:szCs w:val="20"/>
              </w:rPr>
            </w:pPr>
            <w:r w:rsidRPr="003912EB">
              <w:rPr>
                <w:sz w:val="20"/>
                <w:szCs w:val="20"/>
              </w:rPr>
              <w:t>Better alignment of simulations and measurements</w:t>
            </w:r>
          </w:p>
          <w:p w14:paraId="2154DD0B" w14:textId="77777777" w:rsidR="00C805EA" w:rsidRPr="003912EB" w:rsidRDefault="00C805EA" w:rsidP="00C805EA">
            <w:pPr>
              <w:pStyle w:val="ListParagraph"/>
              <w:numPr>
                <w:ilvl w:val="0"/>
                <w:numId w:val="36"/>
              </w:numPr>
              <w:spacing w:after="120"/>
              <w:ind w:left="720"/>
              <w:contextualSpacing w:val="0"/>
              <w:rPr>
                <w:sz w:val="20"/>
                <w:szCs w:val="20"/>
                <w:highlight w:val="green"/>
              </w:rPr>
            </w:pPr>
            <w:r w:rsidRPr="003912EB">
              <w:rPr>
                <w:sz w:val="20"/>
                <w:szCs w:val="20"/>
                <w:highlight w:val="green"/>
              </w:rPr>
              <w:t>Agreement</w:t>
            </w:r>
          </w:p>
          <w:p w14:paraId="4FB0B893" w14:textId="77777777" w:rsidR="00C805EA" w:rsidRPr="003912EB" w:rsidRDefault="00C805EA" w:rsidP="00C805EA">
            <w:pPr>
              <w:pStyle w:val="ListParagraph"/>
              <w:numPr>
                <w:ilvl w:val="1"/>
                <w:numId w:val="36"/>
              </w:numPr>
              <w:overflowPunct w:val="0"/>
              <w:autoSpaceDE w:val="0"/>
              <w:autoSpaceDN w:val="0"/>
              <w:adjustRightInd w:val="0"/>
              <w:spacing w:after="120"/>
              <w:ind w:left="1656" w:hanging="360"/>
              <w:contextualSpacing w:val="0"/>
              <w:jc w:val="both"/>
              <w:textAlignment w:val="baseline"/>
              <w:rPr>
                <w:sz w:val="20"/>
                <w:szCs w:val="20"/>
              </w:rPr>
            </w:pPr>
            <w:r w:rsidRPr="003912EB">
              <w:rPr>
                <w:sz w:val="20"/>
                <w:szCs w:val="20"/>
              </w:rPr>
              <w:t xml:space="preserve">Consider </w:t>
            </w:r>
            <w:r w:rsidRPr="003912EB">
              <w:rPr>
                <w:rFonts w:hint="eastAsia"/>
                <w:sz w:val="20"/>
                <w:szCs w:val="20"/>
              </w:rPr>
              <w:t>P</w:t>
            </w:r>
            <w:r w:rsidRPr="003912EB">
              <w:rPr>
                <w:sz w:val="20"/>
                <w:szCs w:val="20"/>
              </w:rPr>
              <w:t>A modelling at least for the following aspects for RAN4 discussion</w:t>
            </w:r>
          </w:p>
          <w:p w14:paraId="49A5C77A"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rFonts w:hint="eastAsia"/>
                <w:sz w:val="20"/>
                <w:szCs w:val="20"/>
              </w:rPr>
              <w:t>M</w:t>
            </w:r>
            <w:r w:rsidRPr="003912EB">
              <w:rPr>
                <w:sz w:val="20"/>
                <w:szCs w:val="20"/>
              </w:rPr>
              <w:t>emory effects for UE supporting larger CBW</w:t>
            </w:r>
          </w:p>
          <w:p w14:paraId="77E2789F"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sz w:val="20"/>
                <w:szCs w:val="20"/>
              </w:rPr>
              <w:t>Different PA models for different sub-frequency ranges, e.g. around 7GHz (high priority, PC3/PC2) and lower frequency bands (PC3)</w:t>
            </w:r>
          </w:p>
          <w:p w14:paraId="463A5BC8"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rFonts w:hint="eastAsia"/>
                <w:sz w:val="20"/>
                <w:szCs w:val="20"/>
              </w:rPr>
              <w:t>C</w:t>
            </w:r>
            <w:r w:rsidRPr="003912EB">
              <w:rPr>
                <w:sz w:val="20"/>
                <w:szCs w:val="20"/>
              </w:rPr>
              <w:t xml:space="preserve">alibration conditions </w:t>
            </w:r>
          </w:p>
          <w:p w14:paraId="47DFD069"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rFonts w:hint="eastAsia"/>
                <w:sz w:val="20"/>
                <w:szCs w:val="20"/>
              </w:rPr>
              <w:t>R</w:t>
            </w:r>
            <w:r w:rsidRPr="003912EB">
              <w:rPr>
                <w:sz w:val="20"/>
                <w:szCs w:val="20"/>
              </w:rPr>
              <w:t>F impairments used for MPR evaluation, e.g. carrier leakage, I/Q imbalance, etc.</w:t>
            </w:r>
          </w:p>
          <w:p w14:paraId="704B344B"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rFonts w:hint="eastAsia"/>
                <w:sz w:val="20"/>
                <w:szCs w:val="20"/>
              </w:rPr>
              <w:t>P</w:t>
            </w:r>
            <w:r w:rsidRPr="003912EB">
              <w:rPr>
                <w:sz w:val="20"/>
                <w:szCs w:val="20"/>
              </w:rPr>
              <w:t>A models for different device types, handheld UE is prioritized</w:t>
            </w:r>
          </w:p>
          <w:p w14:paraId="10220D85" w14:textId="77777777" w:rsidR="00C805EA" w:rsidRPr="003912EB" w:rsidRDefault="00C805EA" w:rsidP="00C805EA">
            <w:pPr>
              <w:pStyle w:val="ListParagraph"/>
              <w:numPr>
                <w:ilvl w:val="2"/>
                <w:numId w:val="36"/>
              </w:numPr>
              <w:overflowPunct w:val="0"/>
              <w:autoSpaceDE w:val="0"/>
              <w:autoSpaceDN w:val="0"/>
              <w:adjustRightInd w:val="0"/>
              <w:spacing w:after="120"/>
              <w:ind w:left="2376" w:hanging="360"/>
              <w:contextualSpacing w:val="0"/>
              <w:jc w:val="both"/>
              <w:textAlignment w:val="baseline"/>
              <w:rPr>
                <w:sz w:val="20"/>
                <w:szCs w:val="20"/>
              </w:rPr>
            </w:pPr>
            <w:r w:rsidRPr="003912EB">
              <w:rPr>
                <w:rFonts w:hint="eastAsia"/>
                <w:sz w:val="20"/>
                <w:szCs w:val="20"/>
              </w:rPr>
              <w:t>A</w:t>
            </w:r>
            <w:r w:rsidRPr="003912EB">
              <w:rPr>
                <w:sz w:val="20"/>
                <w:szCs w:val="20"/>
              </w:rPr>
              <w:t>pplicable requirements</w:t>
            </w:r>
          </w:p>
          <w:p w14:paraId="52360BA3" w14:textId="77777777" w:rsidR="00B264A7" w:rsidRDefault="00C805EA" w:rsidP="00B264A7">
            <w:pPr>
              <w:pStyle w:val="ListParagraph"/>
              <w:numPr>
                <w:ilvl w:val="3"/>
                <w:numId w:val="36"/>
              </w:numPr>
              <w:overflowPunct w:val="0"/>
              <w:autoSpaceDE w:val="0"/>
              <w:autoSpaceDN w:val="0"/>
              <w:adjustRightInd w:val="0"/>
              <w:spacing w:after="120"/>
              <w:ind w:left="3096" w:hanging="360"/>
              <w:contextualSpacing w:val="0"/>
              <w:jc w:val="both"/>
              <w:textAlignment w:val="baseline"/>
              <w:rPr>
                <w:sz w:val="20"/>
                <w:szCs w:val="20"/>
              </w:rPr>
            </w:pPr>
            <w:r w:rsidRPr="003912EB">
              <w:rPr>
                <w:rFonts w:hint="eastAsia"/>
                <w:sz w:val="20"/>
                <w:szCs w:val="20"/>
              </w:rPr>
              <w:t>5</w:t>
            </w:r>
            <w:r w:rsidRPr="003912EB">
              <w:rPr>
                <w:sz w:val="20"/>
                <w:szCs w:val="20"/>
              </w:rPr>
              <w:t>G-A requirements as starting point</w:t>
            </w:r>
          </w:p>
          <w:p w14:paraId="3A7F4984" w14:textId="27F3E21C" w:rsidR="0066013F" w:rsidRPr="00B264A7" w:rsidRDefault="00C805EA" w:rsidP="00B264A7">
            <w:pPr>
              <w:pStyle w:val="ListParagraph"/>
              <w:numPr>
                <w:ilvl w:val="2"/>
                <w:numId w:val="36"/>
              </w:numPr>
              <w:overflowPunct w:val="0"/>
              <w:autoSpaceDE w:val="0"/>
              <w:autoSpaceDN w:val="0"/>
              <w:adjustRightInd w:val="0"/>
              <w:spacing w:after="120"/>
              <w:ind w:left="2402"/>
              <w:contextualSpacing w:val="0"/>
              <w:jc w:val="both"/>
              <w:textAlignment w:val="baseline"/>
              <w:rPr>
                <w:sz w:val="20"/>
                <w:szCs w:val="20"/>
              </w:rPr>
            </w:pPr>
            <w:r w:rsidRPr="00B264A7">
              <w:rPr>
                <w:rFonts w:hint="eastAsia"/>
                <w:sz w:val="20"/>
                <w:szCs w:val="20"/>
              </w:rPr>
              <w:t>P</w:t>
            </w:r>
            <w:r w:rsidRPr="00B264A7">
              <w:rPr>
                <w:sz w:val="20"/>
                <w:szCs w:val="20"/>
              </w:rPr>
              <w:t>A models for RAN1 waveform evaluation and RAN4 requirements discussion can be decoupled</w:t>
            </w:r>
          </w:p>
        </w:tc>
      </w:tr>
    </w:tbl>
    <w:p w14:paraId="5D72B7CD" w14:textId="77777777" w:rsidR="00B264A7" w:rsidRDefault="00B264A7" w:rsidP="00CD18B1">
      <w:pPr>
        <w:pStyle w:val="B1"/>
        <w:overflowPunct w:val="0"/>
        <w:autoSpaceDE w:val="0"/>
        <w:autoSpaceDN w:val="0"/>
        <w:adjustRightInd w:val="0"/>
        <w:spacing w:before="180" w:after="180"/>
        <w:ind w:left="0" w:firstLine="0"/>
        <w:textAlignment w:val="baseline"/>
        <w:rPr>
          <w:color w:val="000000" w:themeColor="text1"/>
          <w:sz w:val="20"/>
          <w:szCs w:val="20"/>
        </w:rPr>
      </w:pPr>
    </w:p>
    <w:p w14:paraId="57C64296" w14:textId="7BB803B2" w:rsidR="00CD18B1" w:rsidRDefault="00EF45DD" w:rsidP="00CD18B1">
      <w:pPr>
        <w:pStyle w:val="B1"/>
        <w:overflowPunct w:val="0"/>
        <w:autoSpaceDE w:val="0"/>
        <w:autoSpaceDN w:val="0"/>
        <w:adjustRightInd w:val="0"/>
        <w:spacing w:before="180" w:after="180"/>
        <w:ind w:left="0" w:firstLine="0"/>
        <w:textAlignment w:val="baseline"/>
        <w:rPr>
          <w:color w:val="000000" w:themeColor="text1"/>
          <w:sz w:val="20"/>
          <w:szCs w:val="20"/>
        </w:rPr>
      </w:pPr>
      <w:r w:rsidRPr="004B4345">
        <w:rPr>
          <w:color w:val="000000" w:themeColor="text1"/>
          <w:sz w:val="20"/>
          <w:szCs w:val="20"/>
        </w:rPr>
        <w:t xml:space="preserve">In </w:t>
      </w:r>
      <w:r w:rsidR="00DD18AC" w:rsidRPr="004B4345">
        <w:rPr>
          <w:color w:val="000000" w:themeColor="text1"/>
          <w:sz w:val="20"/>
          <w:szCs w:val="20"/>
        </w:rPr>
        <w:t xml:space="preserve">this contribution, we </w:t>
      </w:r>
      <w:r w:rsidR="003912EB">
        <w:rPr>
          <w:color w:val="000000" w:themeColor="text1"/>
          <w:sz w:val="20"/>
          <w:szCs w:val="20"/>
        </w:rPr>
        <w:t>continue the discussion on 6G waveform</w:t>
      </w:r>
      <w:r w:rsidR="00C16AAF">
        <w:rPr>
          <w:color w:val="000000" w:themeColor="text1"/>
          <w:sz w:val="20"/>
          <w:szCs w:val="20"/>
        </w:rPr>
        <w:t xml:space="preserve"> based on the WF above.</w:t>
      </w:r>
    </w:p>
    <w:p w14:paraId="1AE33D40" w14:textId="21E38D06" w:rsidR="004E7F50" w:rsidRPr="009670D0" w:rsidRDefault="008E7986" w:rsidP="009670D0">
      <w:pPr>
        <w:pStyle w:val="Heading1"/>
        <w:rPr>
          <w:color w:val="000000" w:themeColor="text1"/>
        </w:rPr>
      </w:pPr>
      <w:r w:rsidRPr="004B4345">
        <w:rPr>
          <w:color w:val="000000" w:themeColor="text1"/>
        </w:rPr>
        <w:t>2</w:t>
      </w:r>
      <w:r w:rsidRPr="004B4345">
        <w:rPr>
          <w:color w:val="000000" w:themeColor="text1"/>
        </w:rPr>
        <w:tab/>
      </w:r>
      <w:r w:rsidR="0077432F" w:rsidRPr="004B4345">
        <w:rPr>
          <w:color w:val="000000" w:themeColor="text1"/>
        </w:rPr>
        <w:t>Discussion</w:t>
      </w:r>
    </w:p>
    <w:p w14:paraId="7856ADC3" w14:textId="5C86E8CC" w:rsidR="007C7710" w:rsidRPr="004B4345" w:rsidRDefault="001F4795" w:rsidP="001F4795">
      <w:pPr>
        <w:pStyle w:val="Heading2"/>
      </w:pPr>
      <w:r>
        <w:t xml:space="preserve">2.1 </w:t>
      </w:r>
      <w:r w:rsidR="003B313A">
        <w:t>Evaluation methodology</w:t>
      </w:r>
    </w:p>
    <w:p w14:paraId="38174E49" w14:textId="77777777" w:rsidR="00391D90" w:rsidRDefault="00C367FB" w:rsidP="00657FE0">
      <w:pPr>
        <w:autoSpaceDE w:val="0"/>
        <w:autoSpaceDN w:val="0"/>
        <w:adjustRightInd w:val="0"/>
        <w:jc w:val="both"/>
        <w:rPr>
          <w:color w:val="000000" w:themeColor="text1"/>
          <w:sz w:val="20"/>
          <w:szCs w:val="20"/>
        </w:rPr>
      </w:pPr>
      <w:r>
        <w:rPr>
          <w:color w:val="000000" w:themeColor="text1"/>
          <w:sz w:val="20"/>
          <w:szCs w:val="20"/>
        </w:rPr>
        <w:t xml:space="preserve">Good progress was made at the last meeting in the sense that the evaluation methodology/framework was largely agreed upon, as captured in the above WF. </w:t>
      </w:r>
      <w:r w:rsidR="00391D90">
        <w:rPr>
          <w:color w:val="000000" w:themeColor="text1"/>
          <w:sz w:val="20"/>
          <w:szCs w:val="20"/>
        </w:rPr>
        <w:t>In the following, we share our views on the open issues.</w:t>
      </w:r>
    </w:p>
    <w:p w14:paraId="6C2FD47F" w14:textId="77777777" w:rsidR="00391D90" w:rsidRDefault="00391D90" w:rsidP="00657FE0">
      <w:pPr>
        <w:autoSpaceDE w:val="0"/>
        <w:autoSpaceDN w:val="0"/>
        <w:adjustRightInd w:val="0"/>
        <w:jc w:val="both"/>
        <w:rPr>
          <w:color w:val="000000" w:themeColor="text1"/>
          <w:sz w:val="20"/>
          <w:szCs w:val="20"/>
        </w:rPr>
      </w:pPr>
    </w:p>
    <w:p w14:paraId="3F96F0CC" w14:textId="2BE16340" w:rsidR="007B1903" w:rsidRDefault="00391D90" w:rsidP="00657FE0">
      <w:pPr>
        <w:autoSpaceDE w:val="0"/>
        <w:autoSpaceDN w:val="0"/>
        <w:adjustRightInd w:val="0"/>
        <w:jc w:val="both"/>
        <w:rPr>
          <w:color w:val="000000" w:themeColor="text1"/>
          <w:sz w:val="20"/>
          <w:szCs w:val="20"/>
        </w:rPr>
      </w:pPr>
      <w:r>
        <w:rPr>
          <w:color w:val="000000" w:themeColor="text1"/>
          <w:sz w:val="20"/>
          <w:szCs w:val="20"/>
        </w:rPr>
        <w:t xml:space="preserve">First, we agree that at this moment, RAN4 should focus on the evaluation of low PAPR waveforms for UL. This is because </w:t>
      </w:r>
      <w:r w:rsidR="00657FE0" w:rsidRPr="00657FE0">
        <w:rPr>
          <w:color w:val="000000" w:themeColor="text1"/>
          <w:sz w:val="20"/>
          <w:szCs w:val="20"/>
        </w:rPr>
        <w:t>UL coverage</w:t>
      </w:r>
      <w:r>
        <w:rPr>
          <w:color w:val="000000" w:themeColor="text1"/>
          <w:sz w:val="20"/>
          <w:szCs w:val="20"/>
        </w:rPr>
        <w:t xml:space="preserve"> enhancement </w:t>
      </w:r>
      <w:r w:rsidR="007B1903">
        <w:rPr>
          <w:color w:val="000000" w:themeColor="text1"/>
          <w:sz w:val="20"/>
          <w:szCs w:val="20"/>
        </w:rPr>
        <w:t>is one key target of 6G radio</w:t>
      </w:r>
      <w:r>
        <w:rPr>
          <w:color w:val="000000" w:themeColor="text1"/>
          <w:sz w:val="20"/>
          <w:szCs w:val="20"/>
        </w:rPr>
        <w:t xml:space="preserve"> design. </w:t>
      </w:r>
    </w:p>
    <w:p w14:paraId="5ADBB04F" w14:textId="77777777" w:rsidR="007B1903" w:rsidRDefault="007B1903" w:rsidP="00657FE0">
      <w:pPr>
        <w:autoSpaceDE w:val="0"/>
        <w:autoSpaceDN w:val="0"/>
        <w:adjustRightInd w:val="0"/>
        <w:jc w:val="both"/>
        <w:rPr>
          <w:color w:val="000000" w:themeColor="text1"/>
          <w:sz w:val="20"/>
          <w:szCs w:val="20"/>
        </w:rPr>
      </w:pPr>
    </w:p>
    <w:p w14:paraId="76396924" w14:textId="3FF6FB2F" w:rsidR="00657FE0" w:rsidRDefault="00391D90" w:rsidP="00657FE0">
      <w:pPr>
        <w:autoSpaceDE w:val="0"/>
        <w:autoSpaceDN w:val="0"/>
        <w:adjustRightInd w:val="0"/>
        <w:jc w:val="both"/>
        <w:rPr>
          <w:color w:val="000000" w:themeColor="text1"/>
          <w:sz w:val="20"/>
          <w:szCs w:val="20"/>
        </w:rPr>
      </w:pPr>
      <w:r>
        <w:rPr>
          <w:color w:val="000000" w:themeColor="text1"/>
          <w:sz w:val="20"/>
          <w:szCs w:val="20"/>
        </w:rPr>
        <w:lastRenderedPageBreak/>
        <w:t xml:space="preserve">Second, </w:t>
      </w:r>
      <w:r w:rsidR="00E77D4C">
        <w:rPr>
          <w:color w:val="000000" w:themeColor="text1"/>
          <w:sz w:val="20"/>
          <w:szCs w:val="20"/>
        </w:rPr>
        <w:t>since any realistic assessment of the gain would involve the consideration of PA models and compliance with RAN4 requirements</w:t>
      </w:r>
      <w:r>
        <w:rPr>
          <w:color w:val="000000" w:themeColor="text1"/>
          <w:sz w:val="20"/>
          <w:szCs w:val="20"/>
        </w:rPr>
        <w:t xml:space="preserve">, it is likely the PAPR gain of the waveform may not translate dB to dB into the power gain. </w:t>
      </w:r>
      <w:r w:rsidR="00E77D4C">
        <w:rPr>
          <w:color w:val="000000" w:themeColor="text1"/>
          <w:sz w:val="20"/>
          <w:szCs w:val="20"/>
        </w:rPr>
        <w:t xml:space="preserve"> </w:t>
      </w:r>
      <w:r w:rsidR="001F1534">
        <w:rPr>
          <w:color w:val="000000" w:themeColor="text1"/>
          <w:sz w:val="20"/>
          <w:szCs w:val="20"/>
        </w:rPr>
        <w:t>Therefore,</w:t>
      </w:r>
      <w:r>
        <w:rPr>
          <w:color w:val="000000" w:themeColor="text1"/>
          <w:sz w:val="20"/>
          <w:szCs w:val="20"/>
        </w:rPr>
        <w:t xml:space="preserve"> we think the net coverage gain is a good evaluation metric to use in comparing the performance of different waveforms.</w:t>
      </w:r>
    </w:p>
    <w:p w14:paraId="11037E25" w14:textId="77777777" w:rsidR="00391D90" w:rsidRDefault="00391D90" w:rsidP="00657FE0">
      <w:pPr>
        <w:autoSpaceDE w:val="0"/>
        <w:autoSpaceDN w:val="0"/>
        <w:adjustRightInd w:val="0"/>
        <w:jc w:val="both"/>
        <w:rPr>
          <w:color w:val="000000" w:themeColor="text1"/>
          <w:sz w:val="20"/>
          <w:szCs w:val="20"/>
        </w:rPr>
      </w:pPr>
    </w:p>
    <w:p w14:paraId="4C836045" w14:textId="77777777" w:rsidR="00391D90" w:rsidRDefault="00391D90" w:rsidP="00391D90">
      <w:pPr>
        <w:autoSpaceDE w:val="0"/>
        <w:autoSpaceDN w:val="0"/>
        <w:adjustRightInd w:val="0"/>
        <w:jc w:val="both"/>
        <w:rPr>
          <w:color w:val="000000" w:themeColor="text1"/>
          <w:sz w:val="20"/>
          <w:szCs w:val="20"/>
        </w:rPr>
      </w:pPr>
      <w:r>
        <w:rPr>
          <w:color w:val="000000" w:themeColor="text1"/>
          <w:sz w:val="20"/>
          <w:szCs w:val="20"/>
        </w:rPr>
        <w:t>The net coverage gain can be defined as follows:</w:t>
      </w:r>
    </w:p>
    <w:p w14:paraId="67112270" w14:textId="77777777" w:rsidR="00391D90" w:rsidRDefault="00391D90" w:rsidP="00391D90">
      <w:pPr>
        <w:autoSpaceDE w:val="0"/>
        <w:autoSpaceDN w:val="0"/>
        <w:adjustRightInd w:val="0"/>
        <w:jc w:val="center"/>
        <w:rPr>
          <w:color w:val="000000" w:themeColor="text1"/>
          <w:sz w:val="20"/>
          <w:szCs w:val="20"/>
        </w:rPr>
      </w:pPr>
      <w:r w:rsidRPr="00657FE0">
        <w:rPr>
          <w:color w:val="000000" w:themeColor="text1"/>
          <w:sz w:val="20"/>
          <w:szCs w:val="20"/>
        </w:rPr>
        <w:t xml:space="preserve">G = </w:t>
      </w:r>
      <w:r>
        <w:rPr>
          <w:color w:val="000000" w:themeColor="text1"/>
          <w:sz w:val="20"/>
          <w:szCs w:val="20"/>
        </w:rPr>
        <w:sym w:font="Symbol" w:char="F044"/>
      </w:r>
      <w:r w:rsidRPr="00657FE0">
        <w:rPr>
          <w:color w:val="000000" w:themeColor="text1"/>
          <w:sz w:val="20"/>
          <w:szCs w:val="20"/>
        </w:rPr>
        <w:t xml:space="preserve">SNR + </w:t>
      </w:r>
      <w:r>
        <w:rPr>
          <w:color w:val="000000" w:themeColor="text1"/>
          <w:sz w:val="20"/>
          <w:szCs w:val="20"/>
        </w:rPr>
        <w:sym w:font="Symbol" w:char="F044"/>
      </w:r>
      <w:r w:rsidRPr="00657FE0">
        <w:rPr>
          <w:color w:val="000000" w:themeColor="text1"/>
          <w:sz w:val="20"/>
          <w:szCs w:val="20"/>
        </w:rPr>
        <w:t>MPR</w:t>
      </w:r>
      <w:r>
        <w:rPr>
          <w:color w:val="000000" w:themeColor="text1"/>
          <w:sz w:val="20"/>
          <w:szCs w:val="20"/>
        </w:rPr>
        <w:t>,</w:t>
      </w:r>
    </w:p>
    <w:p w14:paraId="176307B2" w14:textId="0010F807" w:rsidR="00391D90" w:rsidRDefault="00391D90" w:rsidP="00391D90">
      <w:pPr>
        <w:autoSpaceDE w:val="0"/>
        <w:autoSpaceDN w:val="0"/>
        <w:adjustRightInd w:val="0"/>
        <w:jc w:val="both"/>
        <w:rPr>
          <w:color w:val="000000" w:themeColor="text1"/>
          <w:sz w:val="20"/>
          <w:szCs w:val="20"/>
        </w:rPr>
      </w:pPr>
      <w:r>
        <w:rPr>
          <w:color w:val="000000" w:themeColor="text1"/>
          <w:sz w:val="20"/>
          <w:szCs w:val="20"/>
        </w:rPr>
        <w:t xml:space="preserve">Where </w:t>
      </w:r>
      <w:r>
        <w:rPr>
          <w:color w:val="000000" w:themeColor="text1"/>
          <w:sz w:val="20"/>
          <w:szCs w:val="20"/>
        </w:rPr>
        <w:sym w:font="Symbol" w:char="F044"/>
      </w:r>
      <w:r w:rsidRPr="00657FE0">
        <w:rPr>
          <w:color w:val="000000" w:themeColor="text1"/>
          <w:sz w:val="20"/>
          <w:szCs w:val="20"/>
        </w:rPr>
        <w:t>SNR is the potential SNR degradation derived from link-level simulation given a BLER</w:t>
      </w:r>
      <w:r>
        <w:rPr>
          <w:color w:val="000000" w:themeColor="text1"/>
          <w:sz w:val="20"/>
          <w:szCs w:val="20"/>
        </w:rPr>
        <w:t xml:space="preserve">, and </w:t>
      </w:r>
      <w:r>
        <w:rPr>
          <w:color w:val="000000" w:themeColor="text1"/>
          <w:sz w:val="20"/>
          <w:szCs w:val="20"/>
        </w:rPr>
        <w:sym w:font="Symbol" w:char="F044"/>
      </w:r>
      <w:r w:rsidRPr="00657FE0">
        <w:rPr>
          <w:color w:val="000000" w:themeColor="text1"/>
          <w:sz w:val="20"/>
          <w:szCs w:val="20"/>
        </w:rPr>
        <w:t>MPR is the power backoff gain due to reduced PAPR</w:t>
      </w:r>
      <w:r>
        <w:rPr>
          <w:color w:val="000000" w:themeColor="text1"/>
          <w:sz w:val="20"/>
          <w:szCs w:val="20"/>
        </w:rPr>
        <w:t>.</w:t>
      </w:r>
    </w:p>
    <w:p w14:paraId="30107807" w14:textId="77777777" w:rsidR="00D768E4" w:rsidRDefault="00D768E4" w:rsidP="00391D90">
      <w:pPr>
        <w:autoSpaceDE w:val="0"/>
        <w:autoSpaceDN w:val="0"/>
        <w:adjustRightInd w:val="0"/>
        <w:jc w:val="both"/>
        <w:rPr>
          <w:color w:val="000000" w:themeColor="text1"/>
          <w:sz w:val="20"/>
          <w:szCs w:val="20"/>
        </w:rPr>
      </w:pPr>
    </w:p>
    <w:p w14:paraId="6BA194FB" w14:textId="7486FE2B" w:rsidR="00D768E4" w:rsidRDefault="00D768E4" w:rsidP="00391D90">
      <w:pPr>
        <w:autoSpaceDE w:val="0"/>
        <w:autoSpaceDN w:val="0"/>
        <w:adjustRightInd w:val="0"/>
        <w:jc w:val="both"/>
        <w:rPr>
          <w:color w:val="000000" w:themeColor="text1"/>
          <w:sz w:val="20"/>
          <w:szCs w:val="20"/>
        </w:rPr>
      </w:pPr>
      <w:r>
        <w:rPr>
          <w:color w:val="000000" w:themeColor="text1"/>
          <w:sz w:val="20"/>
          <w:szCs w:val="20"/>
        </w:rPr>
        <w:t xml:space="preserve">There were also questions raised at the last meeting on which WG should be responsible for evaluating or deriving the two parameters, i.e., </w:t>
      </w:r>
      <w:r>
        <w:rPr>
          <w:color w:val="000000" w:themeColor="text1"/>
          <w:sz w:val="20"/>
          <w:szCs w:val="20"/>
        </w:rPr>
        <w:sym w:font="Symbol" w:char="F044"/>
      </w:r>
      <w:r w:rsidRPr="00D768E4">
        <w:rPr>
          <w:color w:val="000000" w:themeColor="text1"/>
          <w:sz w:val="20"/>
          <w:szCs w:val="20"/>
        </w:rPr>
        <w:t>SNR</w:t>
      </w:r>
      <w:r>
        <w:rPr>
          <w:color w:val="000000" w:themeColor="text1"/>
          <w:sz w:val="20"/>
          <w:szCs w:val="20"/>
        </w:rPr>
        <w:t xml:space="preserve"> and </w:t>
      </w:r>
      <w:r>
        <w:rPr>
          <w:color w:val="000000" w:themeColor="text1"/>
          <w:sz w:val="20"/>
          <w:szCs w:val="20"/>
        </w:rPr>
        <w:sym w:font="Symbol" w:char="F044"/>
      </w:r>
      <w:r w:rsidRPr="00D768E4">
        <w:rPr>
          <w:color w:val="000000" w:themeColor="text1"/>
          <w:sz w:val="20"/>
          <w:szCs w:val="20"/>
        </w:rPr>
        <w:t>MPR</w:t>
      </w:r>
      <w:r>
        <w:rPr>
          <w:color w:val="000000" w:themeColor="text1"/>
          <w:sz w:val="20"/>
          <w:szCs w:val="20"/>
        </w:rPr>
        <w:t xml:space="preserve">. In our understanding, RAN1 can be responsible for </w:t>
      </w:r>
      <w:r>
        <w:rPr>
          <w:color w:val="000000" w:themeColor="text1"/>
          <w:sz w:val="20"/>
          <w:szCs w:val="20"/>
        </w:rPr>
        <w:sym w:font="Symbol" w:char="F044"/>
      </w:r>
      <w:r w:rsidRPr="00D768E4">
        <w:rPr>
          <w:color w:val="000000" w:themeColor="text1"/>
          <w:sz w:val="20"/>
          <w:szCs w:val="20"/>
        </w:rPr>
        <w:t>SNR</w:t>
      </w:r>
      <w:r>
        <w:rPr>
          <w:color w:val="000000" w:themeColor="text1"/>
          <w:sz w:val="20"/>
          <w:szCs w:val="20"/>
        </w:rPr>
        <w:t xml:space="preserve"> and RAN4 for </w:t>
      </w:r>
      <w:r>
        <w:rPr>
          <w:color w:val="000000" w:themeColor="text1"/>
          <w:sz w:val="20"/>
          <w:szCs w:val="20"/>
        </w:rPr>
        <w:sym w:font="Symbol" w:char="F044"/>
      </w:r>
      <w:r w:rsidRPr="00D768E4">
        <w:rPr>
          <w:color w:val="000000" w:themeColor="text1"/>
          <w:sz w:val="20"/>
          <w:szCs w:val="20"/>
        </w:rPr>
        <w:t>MPR</w:t>
      </w:r>
      <w:r>
        <w:rPr>
          <w:color w:val="000000" w:themeColor="text1"/>
          <w:sz w:val="20"/>
          <w:szCs w:val="20"/>
        </w:rPr>
        <w:t>.</w:t>
      </w:r>
    </w:p>
    <w:p w14:paraId="165B6D78" w14:textId="77777777" w:rsidR="00391D90" w:rsidRDefault="00391D90" w:rsidP="00657FE0">
      <w:pPr>
        <w:autoSpaceDE w:val="0"/>
        <w:autoSpaceDN w:val="0"/>
        <w:adjustRightInd w:val="0"/>
        <w:jc w:val="both"/>
        <w:rPr>
          <w:color w:val="000000" w:themeColor="text1"/>
          <w:sz w:val="20"/>
          <w:szCs w:val="20"/>
        </w:rPr>
      </w:pPr>
    </w:p>
    <w:p w14:paraId="43D6E7FE" w14:textId="0D20FBB1" w:rsidR="00D768E4" w:rsidRDefault="00D768E4" w:rsidP="00D768E4">
      <w:pPr>
        <w:spacing w:before="100" w:beforeAutospacing="1" w:after="100"/>
        <w:rPr>
          <w:b/>
          <w:bCs/>
          <w:i/>
          <w:iCs/>
          <w:color w:val="000000" w:themeColor="text1"/>
          <w:sz w:val="20"/>
          <w:szCs w:val="20"/>
        </w:rPr>
      </w:pPr>
      <w:r w:rsidRPr="004B4345">
        <w:rPr>
          <w:b/>
          <w:bCs/>
          <w:i/>
          <w:iCs/>
          <w:color w:val="000000" w:themeColor="text1"/>
          <w:sz w:val="20"/>
          <w:szCs w:val="20"/>
        </w:rPr>
        <w:t xml:space="preserve">Proposal 1: It is proposed to </w:t>
      </w:r>
      <w:r>
        <w:rPr>
          <w:b/>
          <w:bCs/>
          <w:i/>
          <w:iCs/>
          <w:color w:val="000000" w:themeColor="text1"/>
          <w:sz w:val="20"/>
          <w:szCs w:val="20"/>
        </w:rPr>
        <w:t xml:space="preserve">agree on the use of net coverage gain as the evaluation metric in the UL low PAPR waveform evaluation. More specifically, RAN4 evaluation should focus on deriving </w:t>
      </w:r>
      <w:r w:rsidRPr="00D768E4">
        <w:rPr>
          <w:b/>
          <w:bCs/>
          <w:i/>
          <w:iCs/>
          <w:color w:val="000000" w:themeColor="text1"/>
          <w:sz w:val="20"/>
          <w:szCs w:val="20"/>
        </w:rPr>
        <w:sym w:font="Symbol" w:char="F044"/>
      </w:r>
      <w:r w:rsidRPr="00D768E4">
        <w:rPr>
          <w:b/>
          <w:bCs/>
          <w:i/>
          <w:iCs/>
          <w:color w:val="000000" w:themeColor="text1"/>
          <w:sz w:val="20"/>
          <w:szCs w:val="20"/>
        </w:rPr>
        <w:t>MPR</w:t>
      </w:r>
      <w:r>
        <w:rPr>
          <w:b/>
          <w:bCs/>
          <w:i/>
          <w:iCs/>
          <w:color w:val="000000" w:themeColor="text1"/>
          <w:sz w:val="20"/>
          <w:szCs w:val="20"/>
        </w:rPr>
        <w:t xml:space="preserve"> based on simulation. </w:t>
      </w:r>
    </w:p>
    <w:p w14:paraId="507C18F9" w14:textId="77777777" w:rsidR="00D768E4" w:rsidRDefault="00D768E4" w:rsidP="00657FE0">
      <w:pPr>
        <w:autoSpaceDE w:val="0"/>
        <w:autoSpaceDN w:val="0"/>
        <w:adjustRightInd w:val="0"/>
        <w:jc w:val="both"/>
        <w:rPr>
          <w:color w:val="000000" w:themeColor="text1"/>
          <w:sz w:val="20"/>
          <w:szCs w:val="20"/>
        </w:rPr>
      </w:pPr>
    </w:p>
    <w:p w14:paraId="40FFC1BF" w14:textId="77777777" w:rsidR="00F02DD4" w:rsidRPr="005E7E66" w:rsidRDefault="00B5424F" w:rsidP="00657FE0">
      <w:pPr>
        <w:autoSpaceDE w:val="0"/>
        <w:autoSpaceDN w:val="0"/>
        <w:adjustRightInd w:val="0"/>
        <w:jc w:val="both"/>
        <w:rPr>
          <w:color w:val="000000" w:themeColor="text1"/>
          <w:sz w:val="20"/>
          <w:szCs w:val="20"/>
        </w:rPr>
      </w:pPr>
      <w:r w:rsidRPr="005E7E66">
        <w:rPr>
          <w:color w:val="000000" w:themeColor="text1"/>
          <w:sz w:val="20"/>
          <w:szCs w:val="20"/>
        </w:rPr>
        <w:t>In addition, given the various waveform proposals, some with bandwidth extension to further reduce PAPR and some without, it is proposed to keep the same spectrum efficiency</w:t>
      </w:r>
      <w:r w:rsidR="00F02DD4" w:rsidRPr="005E7E66">
        <w:rPr>
          <w:color w:val="000000" w:themeColor="text1"/>
          <w:sz w:val="20"/>
          <w:szCs w:val="20"/>
        </w:rPr>
        <w:t>. To this end, there are two cases:</w:t>
      </w:r>
    </w:p>
    <w:p w14:paraId="0F74EBD9" w14:textId="77777777" w:rsidR="00F02DD4" w:rsidRPr="005E7E66" w:rsidRDefault="00F02DD4" w:rsidP="00F02DD4">
      <w:pPr>
        <w:pStyle w:val="ListParagraph"/>
        <w:numPr>
          <w:ilvl w:val="0"/>
          <w:numId w:val="60"/>
        </w:numPr>
        <w:autoSpaceDE w:val="0"/>
        <w:autoSpaceDN w:val="0"/>
        <w:adjustRightInd w:val="0"/>
        <w:jc w:val="both"/>
        <w:rPr>
          <w:color w:val="000000" w:themeColor="text1"/>
          <w:sz w:val="20"/>
          <w:szCs w:val="20"/>
        </w:rPr>
      </w:pPr>
      <w:r w:rsidRPr="005E7E66">
        <w:rPr>
          <w:color w:val="000000" w:themeColor="text1"/>
          <w:sz w:val="20"/>
          <w:szCs w:val="20"/>
        </w:rPr>
        <w:t>Case 1: The RBs in the bandwidth extension can be scheduled for other UEs. In this case, RAN4 needs to investigate the impact on IBE requirement, i.e., will the same IBE requirement as in the case of no bandwidth extension apply or there will be different IBE requirement?</w:t>
      </w:r>
    </w:p>
    <w:p w14:paraId="54B43250" w14:textId="61A400F8" w:rsidR="00B5424F" w:rsidRPr="005E7E66" w:rsidRDefault="00F02DD4" w:rsidP="00F02DD4">
      <w:pPr>
        <w:pStyle w:val="ListParagraph"/>
        <w:numPr>
          <w:ilvl w:val="0"/>
          <w:numId w:val="60"/>
        </w:numPr>
        <w:autoSpaceDE w:val="0"/>
        <w:autoSpaceDN w:val="0"/>
        <w:adjustRightInd w:val="0"/>
        <w:jc w:val="both"/>
        <w:rPr>
          <w:color w:val="000000" w:themeColor="text1"/>
          <w:sz w:val="20"/>
          <w:szCs w:val="20"/>
        </w:rPr>
      </w:pPr>
      <w:r w:rsidRPr="005E7E66">
        <w:rPr>
          <w:color w:val="000000" w:themeColor="text1"/>
          <w:sz w:val="20"/>
          <w:szCs w:val="20"/>
        </w:rPr>
        <w:t xml:space="preserve">Case 2: The RBs in the bandwidth extension cannot be scheduled for other UEs. In this case, </w:t>
      </w:r>
      <w:r w:rsidR="00430143" w:rsidRPr="005E7E66">
        <w:rPr>
          <w:color w:val="000000" w:themeColor="text1"/>
          <w:sz w:val="20"/>
          <w:szCs w:val="20"/>
        </w:rPr>
        <w:t xml:space="preserve">the same spectrum efficiency can be kept </w:t>
      </w:r>
      <w:r w:rsidR="00B5424F" w:rsidRPr="005E7E66">
        <w:rPr>
          <w:color w:val="000000" w:themeColor="text1"/>
          <w:sz w:val="20"/>
          <w:szCs w:val="20"/>
        </w:rPr>
        <w:t>by adjusting the coding rate while keeping the same modulation, in the evaluation.</w:t>
      </w:r>
    </w:p>
    <w:p w14:paraId="199B4498" w14:textId="77777777" w:rsidR="00F02DD4" w:rsidRPr="005E7E66" w:rsidRDefault="00F02DD4" w:rsidP="00657FE0">
      <w:pPr>
        <w:autoSpaceDE w:val="0"/>
        <w:autoSpaceDN w:val="0"/>
        <w:adjustRightInd w:val="0"/>
        <w:jc w:val="both"/>
        <w:rPr>
          <w:color w:val="000000" w:themeColor="text1"/>
          <w:sz w:val="20"/>
          <w:szCs w:val="20"/>
        </w:rPr>
      </w:pPr>
    </w:p>
    <w:p w14:paraId="2F06C518" w14:textId="7222F59B" w:rsidR="00F02DD4" w:rsidRPr="005E7E66" w:rsidRDefault="00430143" w:rsidP="00F02DD4">
      <w:pPr>
        <w:autoSpaceDE w:val="0"/>
        <w:autoSpaceDN w:val="0"/>
        <w:adjustRightInd w:val="0"/>
        <w:jc w:val="both"/>
        <w:rPr>
          <w:color w:val="000000" w:themeColor="text1"/>
          <w:sz w:val="20"/>
          <w:szCs w:val="20"/>
        </w:rPr>
      </w:pPr>
      <w:r w:rsidRPr="005E7E66">
        <w:rPr>
          <w:color w:val="000000" w:themeColor="text1"/>
          <w:sz w:val="20"/>
          <w:szCs w:val="20"/>
        </w:rPr>
        <w:t xml:space="preserve">In either case, we believe the out-of-band emission requirement should be the same, as this requirement is used to ensure coexistence with adjacent channels. </w:t>
      </w:r>
    </w:p>
    <w:p w14:paraId="3B9BCAB5" w14:textId="77777777" w:rsidR="00F02DD4" w:rsidRPr="005E7E66" w:rsidRDefault="00F02DD4" w:rsidP="00657FE0">
      <w:pPr>
        <w:autoSpaceDE w:val="0"/>
        <w:autoSpaceDN w:val="0"/>
        <w:adjustRightInd w:val="0"/>
        <w:jc w:val="both"/>
        <w:rPr>
          <w:color w:val="000000" w:themeColor="text1"/>
          <w:sz w:val="20"/>
          <w:szCs w:val="20"/>
        </w:rPr>
      </w:pPr>
    </w:p>
    <w:p w14:paraId="10A4E76C" w14:textId="68D285B8" w:rsidR="00B5424F" w:rsidRPr="005E7E66" w:rsidRDefault="00B5424F" w:rsidP="00B5424F">
      <w:pPr>
        <w:spacing w:before="100" w:beforeAutospacing="1" w:after="100"/>
        <w:rPr>
          <w:b/>
          <w:bCs/>
          <w:i/>
          <w:iCs/>
          <w:color w:val="000000" w:themeColor="text1"/>
          <w:sz w:val="20"/>
          <w:szCs w:val="20"/>
        </w:rPr>
      </w:pPr>
      <w:r w:rsidRPr="005E7E66">
        <w:rPr>
          <w:b/>
          <w:bCs/>
          <w:i/>
          <w:iCs/>
          <w:color w:val="000000" w:themeColor="text1"/>
          <w:sz w:val="20"/>
          <w:szCs w:val="20"/>
        </w:rPr>
        <w:t>Proposal 2: It is proposed to keep the same spectrum efficiency in the waveform evaluation for fair comparison.</w:t>
      </w:r>
    </w:p>
    <w:p w14:paraId="4764DC9F" w14:textId="77777777" w:rsidR="00B5424F" w:rsidRPr="005E7E66" w:rsidRDefault="00B5424F" w:rsidP="00657FE0">
      <w:pPr>
        <w:autoSpaceDE w:val="0"/>
        <w:autoSpaceDN w:val="0"/>
        <w:adjustRightInd w:val="0"/>
        <w:jc w:val="both"/>
        <w:rPr>
          <w:color w:val="000000" w:themeColor="text1"/>
          <w:sz w:val="20"/>
          <w:szCs w:val="20"/>
        </w:rPr>
      </w:pPr>
    </w:p>
    <w:p w14:paraId="7A4A62BC" w14:textId="072705F2" w:rsidR="00430143" w:rsidRDefault="00430143" w:rsidP="00657FE0">
      <w:pPr>
        <w:autoSpaceDE w:val="0"/>
        <w:autoSpaceDN w:val="0"/>
        <w:adjustRightInd w:val="0"/>
        <w:jc w:val="both"/>
        <w:rPr>
          <w:color w:val="000000" w:themeColor="text1"/>
          <w:sz w:val="20"/>
          <w:szCs w:val="20"/>
        </w:rPr>
      </w:pPr>
      <w:r w:rsidRPr="005E7E66">
        <w:rPr>
          <w:color w:val="000000" w:themeColor="text1"/>
          <w:sz w:val="20"/>
          <w:szCs w:val="20"/>
        </w:rPr>
        <w:t>We also note that RAN1 has discussed those aspects and made agreements along the lines of Proposals 1&amp;2. To have a clear understanding in RAN4 evaluation, we think it would be good that RAN4 makes formal agreements too.</w:t>
      </w:r>
    </w:p>
    <w:p w14:paraId="1CF1679F" w14:textId="77777777" w:rsidR="005E7E66" w:rsidRDefault="005E7E66" w:rsidP="00657FE0">
      <w:pPr>
        <w:autoSpaceDE w:val="0"/>
        <w:autoSpaceDN w:val="0"/>
        <w:adjustRightInd w:val="0"/>
        <w:jc w:val="both"/>
        <w:rPr>
          <w:color w:val="000000" w:themeColor="text1"/>
          <w:sz w:val="20"/>
          <w:szCs w:val="20"/>
        </w:rPr>
      </w:pPr>
    </w:p>
    <w:p w14:paraId="077934FF" w14:textId="1C379AD5" w:rsidR="00D768E4" w:rsidRPr="004B4345" w:rsidRDefault="00D768E4" w:rsidP="00D768E4">
      <w:pPr>
        <w:pStyle w:val="Heading2"/>
      </w:pPr>
      <w:r>
        <w:t xml:space="preserve">2.2 </w:t>
      </w:r>
      <w:r w:rsidRPr="00D768E4">
        <w:t>Related RF requirements</w:t>
      </w:r>
      <w:r>
        <w:t xml:space="preserve"> to be considered</w:t>
      </w:r>
      <w:r w:rsidRPr="00D768E4">
        <w:t xml:space="preserve"> </w:t>
      </w:r>
    </w:p>
    <w:p w14:paraId="43C689D8" w14:textId="5F1EBD4C" w:rsidR="00817989" w:rsidRDefault="00817989" w:rsidP="00817989">
      <w:pPr>
        <w:autoSpaceDE w:val="0"/>
        <w:autoSpaceDN w:val="0"/>
        <w:adjustRightInd w:val="0"/>
        <w:jc w:val="both"/>
        <w:rPr>
          <w:color w:val="000000" w:themeColor="text1"/>
          <w:sz w:val="20"/>
          <w:szCs w:val="20"/>
        </w:rPr>
      </w:pPr>
      <w:r>
        <w:rPr>
          <w:color w:val="000000" w:themeColor="text1"/>
          <w:sz w:val="20"/>
          <w:szCs w:val="20"/>
        </w:rPr>
        <w:t xml:space="preserve">To evaluate the power backoff gain </w:t>
      </w:r>
      <w:r>
        <w:rPr>
          <w:color w:val="000000" w:themeColor="text1"/>
          <w:sz w:val="20"/>
          <w:szCs w:val="20"/>
        </w:rPr>
        <w:sym w:font="Symbol" w:char="F044"/>
      </w:r>
      <w:r w:rsidRPr="00657FE0">
        <w:rPr>
          <w:color w:val="000000" w:themeColor="text1"/>
          <w:sz w:val="20"/>
          <w:szCs w:val="20"/>
        </w:rPr>
        <w:t>MPR</w:t>
      </w:r>
      <w:r>
        <w:rPr>
          <w:color w:val="000000" w:themeColor="text1"/>
          <w:sz w:val="20"/>
          <w:szCs w:val="20"/>
        </w:rPr>
        <w:t xml:space="preserve">, the waveform passing the TX chain including PA model needs to meet the </w:t>
      </w:r>
      <w:r w:rsidRPr="00817989">
        <w:rPr>
          <w:color w:val="000000" w:themeColor="text1"/>
          <w:sz w:val="20"/>
          <w:szCs w:val="20"/>
        </w:rPr>
        <w:t>RAN4 requirements including ACLR</w:t>
      </w:r>
      <w:r>
        <w:rPr>
          <w:color w:val="000000" w:themeColor="text1"/>
          <w:sz w:val="20"/>
          <w:szCs w:val="20"/>
        </w:rPr>
        <w:t xml:space="preserve">, </w:t>
      </w:r>
      <w:r w:rsidRPr="00817989">
        <w:rPr>
          <w:color w:val="000000" w:themeColor="text1"/>
          <w:sz w:val="20"/>
          <w:szCs w:val="20"/>
        </w:rPr>
        <w:t>SEM</w:t>
      </w:r>
      <w:r>
        <w:rPr>
          <w:color w:val="000000" w:themeColor="text1"/>
          <w:sz w:val="20"/>
          <w:szCs w:val="20"/>
        </w:rPr>
        <w:t xml:space="preserve">, </w:t>
      </w:r>
      <w:r w:rsidRPr="00817989">
        <w:rPr>
          <w:color w:val="000000" w:themeColor="text1"/>
          <w:sz w:val="20"/>
          <w:szCs w:val="20"/>
        </w:rPr>
        <w:t>IBE</w:t>
      </w:r>
      <w:r>
        <w:rPr>
          <w:color w:val="000000" w:themeColor="text1"/>
          <w:sz w:val="20"/>
          <w:szCs w:val="20"/>
        </w:rPr>
        <w:t xml:space="preserve">, </w:t>
      </w:r>
      <w:r w:rsidRPr="00817989">
        <w:rPr>
          <w:color w:val="000000" w:themeColor="text1"/>
          <w:sz w:val="20"/>
          <w:szCs w:val="20"/>
        </w:rPr>
        <w:t>EV</w:t>
      </w:r>
      <w:r>
        <w:rPr>
          <w:color w:val="000000" w:themeColor="text1"/>
          <w:sz w:val="20"/>
          <w:szCs w:val="20"/>
        </w:rPr>
        <w:t xml:space="preserve">M. In addition, the spectrum utilization or minimum guard band requirement needs to be met. As this is a 6G SI that is not going to specify the 6G requirement, </w:t>
      </w:r>
      <w:r w:rsidRPr="00817989">
        <w:rPr>
          <w:color w:val="000000" w:themeColor="text1"/>
          <w:sz w:val="20"/>
          <w:szCs w:val="20"/>
        </w:rPr>
        <w:t xml:space="preserve">it is </w:t>
      </w:r>
      <w:r w:rsidR="007C7F6C">
        <w:rPr>
          <w:color w:val="000000" w:themeColor="text1"/>
          <w:sz w:val="20"/>
          <w:szCs w:val="20"/>
        </w:rPr>
        <w:t>reasonable t</w:t>
      </w:r>
      <w:r w:rsidRPr="00817989">
        <w:rPr>
          <w:color w:val="000000" w:themeColor="text1"/>
          <w:sz w:val="20"/>
          <w:szCs w:val="20"/>
        </w:rPr>
        <w:t xml:space="preserve">o </w:t>
      </w:r>
      <w:r w:rsidR="007C7F6C">
        <w:rPr>
          <w:color w:val="000000" w:themeColor="text1"/>
          <w:sz w:val="20"/>
          <w:szCs w:val="20"/>
        </w:rPr>
        <w:t xml:space="preserve">consider </w:t>
      </w:r>
      <w:r w:rsidRPr="00817989">
        <w:rPr>
          <w:color w:val="000000" w:themeColor="text1"/>
          <w:sz w:val="20"/>
          <w:szCs w:val="20"/>
        </w:rPr>
        <w:t>us</w:t>
      </w:r>
      <w:r w:rsidR="007C7F6C">
        <w:rPr>
          <w:color w:val="000000" w:themeColor="text1"/>
          <w:sz w:val="20"/>
          <w:szCs w:val="20"/>
        </w:rPr>
        <w:t>ing</w:t>
      </w:r>
      <w:r w:rsidRPr="00817989">
        <w:rPr>
          <w:color w:val="000000" w:themeColor="text1"/>
          <w:sz w:val="20"/>
          <w:szCs w:val="20"/>
        </w:rPr>
        <w:t xml:space="preserve"> 5G requirements as a starting point.</w:t>
      </w:r>
    </w:p>
    <w:p w14:paraId="7E0CB750" w14:textId="77777777" w:rsidR="007C7F6C" w:rsidRDefault="007C7F6C" w:rsidP="00817989">
      <w:pPr>
        <w:autoSpaceDE w:val="0"/>
        <w:autoSpaceDN w:val="0"/>
        <w:adjustRightInd w:val="0"/>
        <w:jc w:val="both"/>
        <w:rPr>
          <w:color w:val="000000" w:themeColor="text1"/>
          <w:sz w:val="20"/>
          <w:szCs w:val="20"/>
        </w:rPr>
      </w:pPr>
    </w:p>
    <w:p w14:paraId="7D27901A" w14:textId="34694A0F" w:rsidR="007C7F6C" w:rsidRDefault="007C7F6C" w:rsidP="00817989">
      <w:pPr>
        <w:autoSpaceDE w:val="0"/>
        <w:autoSpaceDN w:val="0"/>
        <w:adjustRightInd w:val="0"/>
        <w:jc w:val="both"/>
        <w:rPr>
          <w:color w:val="000000" w:themeColor="text1"/>
          <w:sz w:val="20"/>
          <w:szCs w:val="20"/>
        </w:rPr>
      </w:pPr>
      <w:r>
        <w:rPr>
          <w:color w:val="000000" w:themeColor="text1"/>
          <w:sz w:val="20"/>
          <w:szCs w:val="20"/>
        </w:rPr>
        <w:t xml:space="preserve">That said, ACLR requirement warrants further consideration. This is because the amount of potential power boosting by the low PAPR waveforms may mean that a UE with a certain power class is able to transmit power that amounts to the power of a higher power class. For example, for PC2, the max. power is 26dBm, if </w:t>
      </w:r>
      <w:r w:rsidR="0090104C">
        <w:rPr>
          <w:color w:val="000000" w:themeColor="text1"/>
          <w:sz w:val="20"/>
          <w:szCs w:val="20"/>
        </w:rPr>
        <w:t>power boosting of 5dB or more is possible, which would lead to a TX power of 31dBm or higher, would it mean in this case the ACLR of PC1, i.e., 37dB should apply instead of 31dB for PC2</w:t>
      </w:r>
      <w:r w:rsidR="00D521A9">
        <w:rPr>
          <w:color w:val="000000" w:themeColor="text1"/>
          <w:sz w:val="20"/>
          <w:szCs w:val="20"/>
        </w:rPr>
        <w:t>, as shown in the NR ACLR requirement below</w:t>
      </w:r>
      <w:r w:rsidR="0090104C">
        <w:rPr>
          <w:color w:val="000000" w:themeColor="text1"/>
          <w:sz w:val="20"/>
          <w:szCs w:val="20"/>
        </w:rPr>
        <w:t>?</w:t>
      </w:r>
      <w:r w:rsidR="00D521A9">
        <w:rPr>
          <w:color w:val="000000" w:themeColor="text1"/>
          <w:sz w:val="20"/>
          <w:szCs w:val="20"/>
        </w:rPr>
        <w:t xml:space="preserve"> It is better to have a common understanding on this.</w:t>
      </w:r>
    </w:p>
    <w:p w14:paraId="4B1149DE" w14:textId="77777777" w:rsidR="007C7F6C" w:rsidRDefault="007C7F6C" w:rsidP="00817989">
      <w:pPr>
        <w:autoSpaceDE w:val="0"/>
        <w:autoSpaceDN w:val="0"/>
        <w:adjustRightInd w:val="0"/>
        <w:jc w:val="both"/>
        <w:rPr>
          <w:color w:val="000000" w:themeColor="text1"/>
          <w:sz w:val="20"/>
          <w:szCs w:val="20"/>
        </w:rPr>
      </w:pPr>
    </w:p>
    <w:p w14:paraId="0D737302" w14:textId="6D116C02" w:rsidR="007C7F6C" w:rsidRPr="00657FE0" w:rsidRDefault="007C7F6C" w:rsidP="00817989">
      <w:pPr>
        <w:autoSpaceDE w:val="0"/>
        <w:autoSpaceDN w:val="0"/>
        <w:adjustRightInd w:val="0"/>
        <w:jc w:val="both"/>
        <w:rPr>
          <w:color w:val="000000" w:themeColor="text1"/>
          <w:sz w:val="20"/>
          <w:szCs w:val="20"/>
        </w:rPr>
      </w:pPr>
      <w:r w:rsidRPr="007C7F6C">
        <w:rPr>
          <w:noProof/>
          <w:color w:val="000000" w:themeColor="text1"/>
          <w:sz w:val="20"/>
          <w:szCs w:val="20"/>
        </w:rPr>
        <w:drawing>
          <wp:inline distT="0" distB="0" distL="0" distR="0" wp14:anchorId="5069705A" wp14:editId="26D8D7BC">
            <wp:extent cx="6122035" cy="1157605"/>
            <wp:effectExtent l="0" t="0" r="0" b="0"/>
            <wp:docPr id="1770603499"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603499" name="Picture 1" descr="A screen shot of a computer&#10;&#10;AI-generated content may be incorrect."/>
                    <pic:cNvPicPr/>
                  </pic:nvPicPr>
                  <pic:blipFill>
                    <a:blip r:embed="rId9"/>
                    <a:stretch>
                      <a:fillRect/>
                    </a:stretch>
                  </pic:blipFill>
                  <pic:spPr>
                    <a:xfrm>
                      <a:off x="0" y="0"/>
                      <a:ext cx="6122035" cy="1157605"/>
                    </a:xfrm>
                    <a:prstGeom prst="rect">
                      <a:avLst/>
                    </a:prstGeom>
                  </pic:spPr>
                </pic:pic>
              </a:graphicData>
            </a:graphic>
          </wp:inline>
        </w:drawing>
      </w:r>
      <w:r>
        <w:rPr>
          <w:color w:val="000000" w:themeColor="text1"/>
          <w:sz w:val="20"/>
          <w:szCs w:val="20"/>
        </w:rPr>
        <w:t xml:space="preserve"> </w:t>
      </w:r>
    </w:p>
    <w:p w14:paraId="2995598E" w14:textId="522FBEB1" w:rsidR="001F4EFD" w:rsidRDefault="001F4EFD" w:rsidP="001F4EFD">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2F2F24">
        <w:rPr>
          <w:b/>
          <w:bCs/>
          <w:i/>
          <w:iCs/>
          <w:color w:val="000000" w:themeColor="text1"/>
          <w:sz w:val="20"/>
          <w:szCs w:val="20"/>
        </w:rPr>
        <w:t>3</w:t>
      </w:r>
      <w:r w:rsidRPr="004B4345">
        <w:rPr>
          <w:b/>
          <w:bCs/>
          <w:i/>
          <w:iCs/>
          <w:color w:val="000000" w:themeColor="text1"/>
          <w:sz w:val="20"/>
          <w:szCs w:val="20"/>
        </w:rPr>
        <w:t xml:space="preserve">: </w:t>
      </w:r>
      <w:r w:rsidR="006E582E">
        <w:rPr>
          <w:b/>
          <w:bCs/>
          <w:i/>
          <w:iCs/>
          <w:color w:val="000000" w:themeColor="text1"/>
          <w:sz w:val="20"/>
          <w:szCs w:val="20"/>
        </w:rPr>
        <w:t>In the evaluation, i</w:t>
      </w:r>
      <w:r w:rsidRPr="004B4345">
        <w:rPr>
          <w:b/>
          <w:bCs/>
          <w:i/>
          <w:iCs/>
          <w:color w:val="000000" w:themeColor="text1"/>
          <w:sz w:val="20"/>
          <w:szCs w:val="20"/>
        </w:rPr>
        <w:t xml:space="preserve">t is proposed to </w:t>
      </w:r>
      <w:r w:rsidR="006E582E">
        <w:rPr>
          <w:b/>
          <w:bCs/>
          <w:i/>
          <w:iCs/>
          <w:color w:val="000000" w:themeColor="text1"/>
          <w:sz w:val="20"/>
          <w:szCs w:val="20"/>
        </w:rPr>
        <w:t xml:space="preserve">consider reusing the 5G requirements </w:t>
      </w:r>
      <w:r w:rsidR="006E582E" w:rsidRPr="006E582E">
        <w:rPr>
          <w:b/>
          <w:bCs/>
          <w:i/>
          <w:iCs/>
          <w:color w:val="000000" w:themeColor="text1"/>
          <w:sz w:val="20"/>
          <w:szCs w:val="20"/>
        </w:rPr>
        <w:t>including ACLR, SEM, IBE, EVM</w:t>
      </w:r>
      <w:r w:rsidR="006E582E">
        <w:rPr>
          <w:b/>
          <w:bCs/>
          <w:i/>
          <w:iCs/>
          <w:color w:val="000000" w:themeColor="text1"/>
          <w:sz w:val="20"/>
          <w:szCs w:val="20"/>
        </w:rPr>
        <w:t xml:space="preserve"> and spectrum utilization. In addition, FFS on which ACLR requirement to use depending on the amount of power boosting rendered by the low PAPR waveform. </w:t>
      </w:r>
      <w:r w:rsidR="006E582E" w:rsidRPr="006E582E">
        <w:rPr>
          <w:b/>
          <w:bCs/>
          <w:i/>
          <w:iCs/>
          <w:color w:val="000000" w:themeColor="text1"/>
          <w:sz w:val="20"/>
          <w:szCs w:val="20"/>
        </w:rPr>
        <w:t xml:space="preserve"> </w:t>
      </w:r>
    </w:p>
    <w:p w14:paraId="68CA07AD" w14:textId="77777777" w:rsidR="001F4EFD" w:rsidRDefault="001F4EFD" w:rsidP="00657FE0">
      <w:pPr>
        <w:autoSpaceDE w:val="0"/>
        <w:autoSpaceDN w:val="0"/>
        <w:adjustRightInd w:val="0"/>
        <w:jc w:val="both"/>
        <w:rPr>
          <w:color w:val="000000" w:themeColor="text1"/>
          <w:sz w:val="20"/>
          <w:szCs w:val="20"/>
        </w:rPr>
      </w:pPr>
    </w:p>
    <w:p w14:paraId="10D6F51A" w14:textId="52FBEC64" w:rsidR="00F04A63" w:rsidRPr="00993851" w:rsidRDefault="00993851" w:rsidP="00993851">
      <w:pPr>
        <w:pStyle w:val="Heading2"/>
      </w:pPr>
      <w:r>
        <w:lastRenderedPageBreak/>
        <w:t>2.</w:t>
      </w:r>
      <w:r w:rsidR="00D768E4">
        <w:t>3</w:t>
      </w:r>
      <w:r>
        <w:t xml:space="preserve"> </w:t>
      </w:r>
      <w:r w:rsidR="003B313A">
        <w:t xml:space="preserve">PA </w:t>
      </w:r>
      <w:r w:rsidR="00F176D4">
        <w:t>modelling</w:t>
      </w:r>
    </w:p>
    <w:p w14:paraId="5B9C034A" w14:textId="3321C4BA" w:rsidR="00F176D4" w:rsidRDefault="00F176D4" w:rsidP="00F176D4">
      <w:pPr>
        <w:autoSpaceDE w:val="0"/>
        <w:autoSpaceDN w:val="0"/>
        <w:adjustRightInd w:val="0"/>
        <w:jc w:val="both"/>
        <w:rPr>
          <w:color w:val="000000" w:themeColor="text1"/>
          <w:sz w:val="20"/>
          <w:szCs w:val="20"/>
        </w:rPr>
      </w:pPr>
      <w:r>
        <w:rPr>
          <w:color w:val="000000" w:themeColor="text1"/>
          <w:sz w:val="20"/>
          <w:szCs w:val="20"/>
        </w:rPr>
        <w:t>While it is preferred to use a common PA model in the waveform evaluation to facilitate performance comparison, it may be difficult to align PA models from different UE/chipset vendors because of their proprietary implementation choices, e.g., the use of DPD</w:t>
      </w:r>
      <w:r w:rsidR="006169C0">
        <w:rPr>
          <w:color w:val="000000" w:themeColor="text1"/>
          <w:sz w:val="20"/>
          <w:szCs w:val="20"/>
        </w:rPr>
        <w:t xml:space="preserve"> and other implementation considerations such as PA power efficiency</w:t>
      </w:r>
      <w:r>
        <w:rPr>
          <w:color w:val="000000" w:themeColor="text1"/>
          <w:sz w:val="20"/>
          <w:szCs w:val="20"/>
        </w:rPr>
        <w:t xml:space="preserve">. </w:t>
      </w:r>
      <w:r w:rsidR="006169C0">
        <w:rPr>
          <w:color w:val="000000" w:themeColor="text1"/>
          <w:sz w:val="20"/>
          <w:szCs w:val="20"/>
        </w:rPr>
        <w:t>Therefore, it appears more practical to allow each company to choose a PA model that suits their implementation and state clearly how the PA is calibrated.</w:t>
      </w:r>
      <w:r w:rsidR="003E6818">
        <w:rPr>
          <w:color w:val="000000" w:themeColor="text1"/>
          <w:sz w:val="20"/>
          <w:szCs w:val="20"/>
        </w:rPr>
        <w:t xml:space="preserve"> It is noted that </w:t>
      </w:r>
      <w:r w:rsidR="003B1717">
        <w:rPr>
          <w:color w:val="000000" w:themeColor="text1"/>
          <w:sz w:val="20"/>
          <w:szCs w:val="20"/>
        </w:rPr>
        <w:t>although performance difference over the common PA model between a candidate waveform and baseline waveform (i.e., Pi/2 BPSK over DFT-S-OFDM) is not attainable, each company can still show the relative difference over the PA model they choose to use.</w:t>
      </w:r>
    </w:p>
    <w:p w14:paraId="0B371A15" w14:textId="77777777" w:rsidR="00F176D4" w:rsidRDefault="00F176D4" w:rsidP="00F176D4">
      <w:pPr>
        <w:autoSpaceDE w:val="0"/>
        <w:autoSpaceDN w:val="0"/>
        <w:adjustRightInd w:val="0"/>
        <w:jc w:val="both"/>
        <w:rPr>
          <w:color w:val="000000" w:themeColor="text1"/>
          <w:sz w:val="20"/>
          <w:szCs w:val="20"/>
        </w:rPr>
      </w:pPr>
    </w:p>
    <w:p w14:paraId="730F3ADD" w14:textId="7733DB8E" w:rsidR="006169C0" w:rsidRDefault="006169C0" w:rsidP="005E7E66">
      <w:pPr>
        <w:spacing w:before="100" w:beforeAutospacing="1" w:after="100"/>
        <w:jc w:val="both"/>
        <w:rPr>
          <w:b/>
          <w:bCs/>
          <w:i/>
          <w:iCs/>
          <w:color w:val="000000" w:themeColor="text1"/>
          <w:sz w:val="20"/>
          <w:szCs w:val="20"/>
        </w:rPr>
      </w:pPr>
      <w:r w:rsidRPr="004B4345">
        <w:rPr>
          <w:b/>
          <w:bCs/>
          <w:i/>
          <w:iCs/>
          <w:color w:val="000000" w:themeColor="text1"/>
          <w:sz w:val="20"/>
          <w:szCs w:val="20"/>
        </w:rPr>
        <w:t xml:space="preserve">Proposal </w:t>
      </w:r>
      <w:r w:rsidR="002F2F24">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In the evaluation, companies can choose their own P</w:t>
      </w:r>
      <w:r w:rsidRPr="006169C0">
        <w:rPr>
          <w:b/>
          <w:bCs/>
          <w:i/>
          <w:iCs/>
          <w:color w:val="000000" w:themeColor="text1"/>
          <w:sz w:val="20"/>
          <w:szCs w:val="20"/>
        </w:rPr>
        <w:t xml:space="preserve">A model </w:t>
      </w:r>
      <w:r>
        <w:rPr>
          <w:b/>
          <w:bCs/>
          <w:i/>
          <w:iCs/>
          <w:color w:val="000000" w:themeColor="text1"/>
          <w:sz w:val="20"/>
          <w:szCs w:val="20"/>
        </w:rPr>
        <w:t xml:space="preserve">and </w:t>
      </w:r>
      <w:r w:rsidRPr="006169C0">
        <w:rPr>
          <w:b/>
          <w:bCs/>
          <w:i/>
          <w:iCs/>
          <w:color w:val="000000" w:themeColor="text1"/>
          <w:sz w:val="20"/>
          <w:szCs w:val="20"/>
        </w:rPr>
        <w:t>state clearly how the PA is calibrated</w:t>
      </w:r>
      <w:r>
        <w:rPr>
          <w:b/>
          <w:bCs/>
          <w:i/>
          <w:iCs/>
          <w:color w:val="000000" w:themeColor="text1"/>
          <w:sz w:val="20"/>
          <w:szCs w:val="20"/>
        </w:rPr>
        <w:t xml:space="preserve"> to facilitate comparison.</w:t>
      </w:r>
      <w:r w:rsidR="007A3C7B">
        <w:rPr>
          <w:b/>
          <w:bCs/>
          <w:i/>
          <w:iCs/>
          <w:color w:val="000000" w:themeColor="text1"/>
          <w:sz w:val="20"/>
          <w:szCs w:val="20"/>
        </w:rPr>
        <w:t xml:space="preserve"> Use of </w:t>
      </w:r>
      <w:r w:rsidR="00185408">
        <w:rPr>
          <w:b/>
          <w:bCs/>
          <w:i/>
          <w:iCs/>
          <w:color w:val="000000" w:themeColor="text1"/>
          <w:sz w:val="20"/>
          <w:szCs w:val="20"/>
        </w:rPr>
        <w:t>supply voltage</w:t>
      </w:r>
      <w:r w:rsidR="007A3C7B">
        <w:rPr>
          <w:b/>
          <w:bCs/>
          <w:i/>
          <w:iCs/>
          <w:color w:val="000000" w:themeColor="text1"/>
          <w:sz w:val="20"/>
          <w:szCs w:val="20"/>
        </w:rPr>
        <w:t xml:space="preserve"> adaptations in case of </w:t>
      </w:r>
      <w:proofErr w:type="gramStart"/>
      <w:r w:rsidR="007A3C7B">
        <w:rPr>
          <w:b/>
          <w:bCs/>
          <w:i/>
          <w:iCs/>
          <w:color w:val="000000" w:themeColor="text1"/>
          <w:sz w:val="20"/>
          <w:szCs w:val="20"/>
        </w:rPr>
        <w:t>high power</w:t>
      </w:r>
      <w:proofErr w:type="gramEnd"/>
      <w:r w:rsidR="007A3C7B">
        <w:rPr>
          <w:b/>
          <w:bCs/>
          <w:i/>
          <w:iCs/>
          <w:color w:val="000000" w:themeColor="text1"/>
          <w:sz w:val="20"/>
          <w:szCs w:val="20"/>
        </w:rPr>
        <w:t xml:space="preserve"> back-off scenarios shall not be precluded.</w:t>
      </w:r>
    </w:p>
    <w:p w14:paraId="024B4EA3" w14:textId="77777777" w:rsidR="006169C0" w:rsidRPr="00657FE0" w:rsidRDefault="006169C0" w:rsidP="00F176D4">
      <w:pPr>
        <w:autoSpaceDE w:val="0"/>
        <w:autoSpaceDN w:val="0"/>
        <w:adjustRightInd w:val="0"/>
        <w:jc w:val="both"/>
        <w:rPr>
          <w:color w:val="000000" w:themeColor="text1"/>
          <w:sz w:val="20"/>
          <w:szCs w:val="20"/>
        </w:rPr>
      </w:pPr>
    </w:p>
    <w:p w14:paraId="6F7DDBA5" w14:textId="77777777" w:rsidR="005A6FE6" w:rsidRDefault="00757E07" w:rsidP="00757E07">
      <w:pPr>
        <w:autoSpaceDE w:val="0"/>
        <w:autoSpaceDN w:val="0"/>
        <w:adjustRightInd w:val="0"/>
        <w:jc w:val="both"/>
        <w:rPr>
          <w:color w:val="000000" w:themeColor="text1"/>
          <w:sz w:val="20"/>
          <w:szCs w:val="20"/>
        </w:rPr>
      </w:pPr>
      <w:r>
        <w:rPr>
          <w:color w:val="000000" w:themeColor="text1"/>
          <w:sz w:val="20"/>
          <w:szCs w:val="20"/>
        </w:rPr>
        <w:t xml:space="preserve">It is known that </w:t>
      </w:r>
      <w:r w:rsidR="008122C2">
        <w:rPr>
          <w:color w:val="000000" w:themeColor="text1"/>
          <w:sz w:val="20"/>
          <w:szCs w:val="20"/>
        </w:rPr>
        <w:t>memory effects</w:t>
      </w:r>
      <w:r>
        <w:rPr>
          <w:color w:val="000000" w:themeColor="text1"/>
          <w:sz w:val="20"/>
          <w:szCs w:val="20"/>
        </w:rPr>
        <w:t xml:space="preserve"> become more pronounced w</w:t>
      </w:r>
      <w:r w:rsidRPr="00757E07">
        <w:rPr>
          <w:color w:val="000000" w:themeColor="text1"/>
          <w:sz w:val="20"/>
          <w:szCs w:val="20"/>
        </w:rPr>
        <w:t xml:space="preserve">hen the </w:t>
      </w:r>
      <w:r>
        <w:rPr>
          <w:color w:val="000000" w:themeColor="text1"/>
          <w:sz w:val="20"/>
          <w:szCs w:val="20"/>
        </w:rPr>
        <w:t>channel</w:t>
      </w:r>
      <w:r w:rsidRPr="00757E07">
        <w:rPr>
          <w:color w:val="000000" w:themeColor="text1"/>
          <w:sz w:val="20"/>
          <w:szCs w:val="20"/>
        </w:rPr>
        <w:t xml:space="preserve"> bandwidth increases</w:t>
      </w:r>
      <w:r>
        <w:rPr>
          <w:color w:val="000000" w:themeColor="text1"/>
          <w:sz w:val="20"/>
          <w:szCs w:val="20"/>
        </w:rPr>
        <w:t xml:space="preserve">. This is because </w:t>
      </w:r>
      <w:r w:rsidRPr="00757E07">
        <w:rPr>
          <w:color w:val="000000" w:themeColor="text1"/>
          <w:sz w:val="20"/>
          <w:szCs w:val="20"/>
        </w:rPr>
        <w:t>the envelope of the signal changes faster in time</w:t>
      </w:r>
      <w:r>
        <w:rPr>
          <w:color w:val="000000" w:themeColor="text1"/>
          <w:sz w:val="20"/>
          <w:szCs w:val="20"/>
        </w:rPr>
        <w:t xml:space="preserve"> over a large channel bandwidth, compared to a narrowband signal. On the other hand, a given PA has fixed time constant for its bias networks or matching networks. </w:t>
      </w:r>
      <w:r w:rsidR="005A6FE6" w:rsidRPr="005A6FE6">
        <w:rPr>
          <w:rFonts w:hint="eastAsia"/>
          <w:color w:val="000000" w:themeColor="text1"/>
          <w:sz w:val="20"/>
          <w:szCs w:val="20"/>
        </w:rPr>
        <w:t xml:space="preserve">As a result, </w:t>
      </w:r>
      <w:r w:rsidR="005A6FE6">
        <w:rPr>
          <w:color w:val="000000" w:themeColor="text1"/>
          <w:sz w:val="20"/>
          <w:szCs w:val="20"/>
        </w:rPr>
        <w:t xml:space="preserve">if </w:t>
      </w:r>
      <w:r w:rsidR="005A6FE6" w:rsidRPr="005A6FE6">
        <w:rPr>
          <w:rFonts w:hint="eastAsia"/>
          <w:color w:val="000000" w:themeColor="text1"/>
          <w:sz w:val="20"/>
          <w:szCs w:val="20"/>
        </w:rPr>
        <w:t xml:space="preserve">the PA </w:t>
      </w:r>
      <w:r w:rsidR="005A6FE6">
        <w:rPr>
          <w:color w:val="000000" w:themeColor="text1"/>
          <w:sz w:val="20"/>
          <w:szCs w:val="20"/>
        </w:rPr>
        <w:t>cannot</w:t>
      </w:r>
      <w:r w:rsidR="005A6FE6" w:rsidRPr="005A6FE6">
        <w:rPr>
          <w:rFonts w:hint="eastAsia"/>
          <w:color w:val="000000" w:themeColor="text1"/>
          <w:sz w:val="20"/>
          <w:szCs w:val="20"/>
        </w:rPr>
        <w:t xml:space="preserve"> follow these rapid changes</w:t>
      </w:r>
      <w:r w:rsidR="005A6FE6">
        <w:rPr>
          <w:color w:val="000000" w:themeColor="text1"/>
          <w:sz w:val="20"/>
          <w:szCs w:val="20"/>
        </w:rPr>
        <w:t xml:space="preserve">, there will be </w:t>
      </w:r>
      <w:r w:rsidR="005A6FE6" w:rsidRPr="005A6FE6">
        <w:rPr>
          <w:rFonts w:hint="eastAsia"/>
          <w:color w:val="000000" w:themeColor="text1"/>
          <w:sz w:val="20"/>
          <w:szCs w:val="20"/>
        </w:rPr>
        <w:t>strong memory effects.</w:t>
      </w:r>
    </w:p>
    <w:p w14:paraId="6B615C7F" w14:textId="77777777" w:rsidR="005A6FE6" w:rsidRDefault="005A6FE6" w:rsidP="00757E07">
      <w:pPr>
        <w:autoSpaceDE w:val="0"/>
        <w:autoSpaceDN w:val="0"/>
        <w:adjustRightInd w:val="0"/>
        <w:jc w:val="both"/>
        <w:rPr>
          <w:color w:val="000000" w:themeColor="text1"/>
          <w:sz w:val="20"/>
          <w:szCs w:val="20"/>
        </w:rPr>
      </w:pPr>
    </w:p>
    <w:p w14:paraId="1C05C7DE" w14:textId="75E2EA8A" w:rsidR="00757E07" w:rsidRPr="00757E07" w:rsidRDefault="00757E07" w:rsidP="00757E07">
      <w:pPr>
        <w:autoSpaceDE w:val="0"/>
        <w:autoSpaceDN w:val="0"/>
        <w:adjustRightInd w:val="0"/>
        <w:jc w:val="both"/>
        <w:rPr>
          <w:color w:val="000000" w:themeColor="text1"/>
          <w:sz w:val="20"/>
          <w:szCs w:val="20"/>
        </w:rPr>
      </w:pPr>
      <w:r>
        <w:rPr>
          <w:color w:val="000000" w:themeColor="text1"/>
          <w:sz w:val="20"/>
          <w:szCs w:val="20"/>
        </w:rPr>
        <w:t xml:space="preserve">That said, adaptive DPD algorithms can be used to mitigate </w:t>
      </w:r>
      <w:r w:rsidR="005A6FE6">
        <w:rPr>
          <w:color w:val="000000" w:themeColor="text1"/>
          <w:sz w:val="20"/>
          <w:szCs w:val="20"/>
        </w:rPr>
        <w:t>such memory effects over large channel bandwidth. As discussed above, each company may have its proprietary DPD algorithms to address the memory effects</w:t>
      </w:r>
      <w:r w:rsidRPr="00757E07">
        <w:rPr>
          <w:color w:val="000000" w:themeColor="text1"/>
          <w:sz w:val="20"/>
          <w:szCs w:val="20"/>
        </w:rPr>
        <w:t>.</w:t>
      </w:r>
      <w:r w:rsidR="005A6FE6">
        <w:rPr>
          <w:color w:val="000000" w:themeColor="text1"/>
          <w:sz w:val="20"/>
          <w:szCs w:val="20"/>
        </w:rPr>
        <w:t xml:space="preserve"> Therefore, it is OK not to explicitly consider memory effects. </w:t>
      </w:r>
    </w:p>
    <w:p w14:paraId="24D1546F" w14:textId="77777777" w:rsidR="00757E07" w:rsidRPr="00757E07" w:rsidRDefault="00757E07" w:rsidP="00757E07">
      <w:pPr>
        <w:autoSpaceDE w:val="0"/>
        <w:autoSpaceDN w:val="0"/>
        <w:adjustRightInd w:val="0"/>
        <w:jc w:val="both"/>
        <w:rPr>
          <w:color w:val="000000" w:themeColor="text1"/>
          <w:sz w:val="20"/>
          <w:szCs w:val="20"/>
        </w:rPr>
      </w:pPr>
    </w:p>
    <w:p w14:paraId="16E817BF" w14:textId="2C637B81" w:rsidR="005A6FE6" w:rsidRDefault="005A6FE6" w:rsidP="005A6FE6">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2F2F24">
        <w:rPr>
          <w:b/>
          <w:bCs/>
          <w:i/>
          <w:iCs/>
          <w:color w:val="000000" w:themeColor="text1"/>
          <w:sz w:val="20"/>
          <w:szCs w:val="20"/>
        </w:rPr>
        <w:t>5</w:t>
      </w:r>
      <w:r w:rsidRPr="004B4345">
        <w:rPr>
          <w:b/>
          <w:bCs/>
          <w:i/>
          <w:iCs/>
          <w:color w:val="000000" w:themeColor="text1"/>
          <w:sz w:val="20"/>
          <w:szCs w:val="20"/>
        </w:rPr>
        <w:t xml:space="preserve">: </w:t>
      </w:r>
      <w:r>
        <w:rPr>
          <w:b/>
          <w:bCs/>
          <w:i/>
          <w:iCs/>
          <w:color w:val="000000" w:themeColor="text1"/>
          <w:sz w:val="20"/>
          <w:szCs w:val="20"/>
        </w:rPr>
        <w:t>In the evaluation, it is up to companies if memory effects can explicitly modeled/simulated.</w:t>
      </w:r>
    </w:p>
    <w:p w14:paraId="37EFD50A" w14:textId="77777777" w:rsidR="005A6FE6" w:rsidRDefault="005A6FE6" w:rsidP="00757E07">
      <w:pPr>
        <w:autoSpaceDE w:val="0"/>
        <w:autoSpaceDN w:val="0"/>
        <w:adjustRightInd w:val="0"/>
        <w:jc w:val="both"/>
        <w:rPr>
          <w:color w:val="000000" w:themeColor="text1"/>
          <w:sz w:val="20"/>
          <w:szCs w:val="20"/>
        </w:rPr>
      </w:pPr>
    </w:p>
    <w:p w14:paraId="697A781C" w14:textId="13CF4B44" w:rsidR="008122C2" w:rsidRDefault="0005448B" w:rsidP="00F176D4">
      <w:pPr>
        <w:autoSpaceDE w:val="0"/>
        <w:autoSpaceDN w:val="0"/>
        <w:adjustRightInd w:val="0"/>
        <w:jc w:val="both"/>
        <w:rPr>
          <w:color w:val="000000" w:themeColor="text1"/>
          <w:sz w:val="20"/>
          <w:szCs w:val="20"/>
        </w:rPr>
      </w:pPr>
      <w:r>
        <w:rPr>
          <w:color w:val="000000" w:themeColor="text1"/>
          <w:sz w:val="20"/>
          <w:szCs w:val="20"/>
        </w:rPr>
        <w:t xml:space="preserve">Furthermore, we </w:t>
      </w:r>
      <w:r w:rsidR="008B2C72">
        <w:rPr>
          <w:color w:val="000000" w:themeColor="text1"/>
          <w:sz w:val="20"/>
          <w:szCs w:val="20"/>
        </w:rPr>
        <w:t>need to discuss</w:t>
      </w:r>
      <w:r>
        <w:rPr>
          <w:color w:val="000000" w:themeColor="text1"/>
          <w:sz w:val="20"/>
          <w:szCs w:val="20"/>
        </w:rPr>
        <w:t xml:space="preserve"> the </w:t>
      </w:r>
      <w:r w:rsidR="008B2C72">
        <w:rPr>
          <w:color w:val="000000" w:themeColor="text1"/>
          <w:sz w:val="20"/>
          <w:szCs w:val="20"/>
        </w:rPr>
        <w:t xml:space="preserve">PA </w:t>
      </w:r>
      <w:r>
        <w:rPr>
          <w:color w:val="000000" w:themeColor="text1"/>
          <w:sz w:val="20"/>
          <w:szCs w:val="20"/>
        </w:rPr>
        <w:t xml:space="preserve">calibration conditions. In 5G, the calibration </w:t>
      </w:r>
      <w:r w:rsidR="008B2C72">
        <w:rPr>
          <w:color w:val="000000" w:themeColor="text1"/>
          <w:sz w:val="20"/>
          <w:szCs w:val="20"/>
        </w:rPr>
        <w:t>conditions are given below:</w:t>
      </w:r>
    </w:p>
    <w:tbl>
      <w:tblPr>
        <w:tblStyle w:val="TableGrid"/>
        <w:tblW w:w="0" w:type="auto"/>
        <w:tblLook w:val="04A0" w:firstRow="1" w:lastRow="0" w:firstColumn="1" w:lastColumn="0" w:noHBand="0" w:noVBand="1"/>
      </w:tblPr>
      <w:tblGrid>
        <w:gridCol w:w="4815"/>
        <w:gridCol w:w="4816"/>
      </w:tblGrid>
      <w:tr w:rsidR="008B2C72" w14:paraId="43E04291" w14:textId="77777777" w:rsidTr="008B2C72">
        <w:tc>
          <w:tcPr>
            <w:tcW w:w="4815" w:type="dxa"/>
          </w:tcPr>
          <w:p w14:paraId="11AC69C6" w14:textId="4D451857" w:rsidR="008B2C72" w:rsidRDefault="008B2C72" w:rsidP="00F176D4">
            <w:pPr>
              <w:autoSpaceDE w:val="0"/>
              <w:autoSpaceDN w:val="0"/>
              <w:adjustRightInd w:val="0"/>
              <w:jc w:val="both"/>
              <w:rPr>
                <w:color w:val="000000" w:themeColor="text1"/>
                <w:sz w:val="20"/>
                <w:szCs w:val="20"/>
              </w:rPr>
            </w:pPr>
            <w:r>
              <w:rPr>
                <w:color w:val="000000" w:themeColor="text1"/>
                <w:sz w:val="20"/>
                <w:szCs w:val="20"/>
              </w:rPr>
              <w:t>Waveform</w:t>
            </w:r>
          </w:p>
        </w:tc>
        <w:tc>
          <w:tcPr>
            <w:tcW w:w="4816" w:type="dxa"/>
          </w:tcPr>
          <w:p w14:paraId="1E628049" w14:textId="63814E93" w:rsidR="008B2C72" w:rsidRDefault="008B2C72" w:rsidP="00F176D4">
            <w:pPr>
              <w:autoSpaceDE w:val="0"/>
              <w:autoSpaceDN w:val="0"/>
              <w:adjustRightInd w:val="0"/>
              <w:jc w:val="both"/>
              <w:rPr>
                <w:color w:val="000000" w:themeColor="text1"/>
                <w:sz w:val="20"/>
                <w:szCs w:val="20"/>
              </w:rPr>
            </w:pPr>
            <w:r>
              <w:rPr>
                <w:color w:val="000000" w:themeColor="text1"/>
                <w:sz w:val="20"/>
                <w:szCs w:val="20"/>
              </w:rPr>
              <w:t>DFT-S-OFDM</w:t>
            </w:r>
          </w:p>
        </w:tc>
      </w:tr>
      <w:tr w:rsidR="008B2C72" w14:paraId="4C0D2B16" w14:textId="77777777" w:rsidTr="008B2C72">
        <w:tc>
          <w:tcPr>
            <w:tcW w:w="4815" w:type="dxa"/>
          </w:tcPr>
          <w:p w14:paraId="796DEDFA" w14:textId="3D33854A" w:rsidR="008B2C72" w:rsidRDefault="008B2C72" w:rsidP="00F176D4">
            <w:pPr>
              <w:autoSpaceDE w:val="0"/>
              <w:autoSpaceDN w:val="0"/>
              <w:adjustRightInd w:val="0"/>
              <w:jc w:val="both"/>
              <w:rPr>
                <w:color w:val="000000" w:themeColor="text1"/>
                <w:sz w:val="20"/>
                <w:szCs w:val="20"/>
              </w:rPr>
            </w:pPr>
            <w:r>
              <w:rPr>
                <w:color w:val="000000" w:themeColor="text1"/>
                <w:sz w:val="20"/>
                <w:szCs w:val="20"/>
              </w:rPr>
              <w:t>Modulation</w:t>
            </w:r>
          </w:p>
        </w:tc>
        <w:tc>
          <w:tcPr>
            <w:tcW w:w="4816" w:type="dxa"/>
          </w:tcPr>
          <w:p w14:paraId="094F8E27" w14:textId="03B3DD36" w:rsidR="008B2C72" w:rsidRDefault="008B2C72" w:rsidP="00F176D4">
            <w:pPr>
              <w:autoSpaceDE w:val="0"/>
              <w:autoSpaceDN w:val="0"/>
              <w:adjustRightInd w:val="0"/>
              <w:jc w:val="both"/>
              <w:rPr>
                <w:color w:val="000000" w:themeColor="text1"/>
                <w:sz w:val="20"/>
                <w:szCs w:val="20"/>
              </w:rPr>
            </w:pPr>
            <w:r>
              <w:rPr>
                <w:color w:val="000000" w:themeColor="text1"/>
                <w:sz w:val="20"/>
                <w:szCs w:val="20"/>
              </w:rPr>
              <w:t>QPSK</w:t>
            </w:r>
          </w:p>
        </w:tc>
      </w:tr>
      <w:tr w:rsidR="008B2C72" w14:paraId="2679FA50" w14:textId="77777777" w:rsidTr="008B2C72">
        <w:tc>
          <w:tcPr>
            <w:tcW w:w="4815" w:type="dxa"/>
          </w:tcPr>
          <w:p w14:paraId="0D668A8C" w14:textId="222C4A25" w:rsidR="008B2C72" w:rsidRDefault="008B2C72" w:rsidP="00F176D4">
            <w:pPr>
              <w:autoSpaceDE w:val="0"/>
              <w:autoSpaceDN w:val="0"/>
              <w:adjustRightInd w:val="0"/>
              <w:jc w:val="both"/>
              <w:rPr>
                <w:color w:val="000000" w:themeColor="text1"/>
                <w:sz w:val="20"/>
                <w:szCs w:val="20"/>
              </w:rPr>
            </w:pPr>
            <w:r>
              <w:rPr>
                <w:color w:val="000000" w:themeColor="text1"/>
                <w:sz w:val="20"/>
                <w:szCs w:val="20"/>
              </w:rPr>
              <w:t>Channel bandwidth</w:t>
            </w:r>
          </w:p>
        </w:tc>
        <w:tc>
          <w:tcPr>
            <w:tcW w:w="4816" w:type="dxa"/>
          </w:tcPr>
          <w:p w14:paraId="31DDD67B" w14:textId="037BB0D3" w:rsidR="008B2C72" w:rsidRDefault="008B2C72" w:rsidP="00F176D4">
            <w:pPr>
              <w:autoSpaceDE w:val="0"/>
              <w:autoSpaceDN w:val="0"/>
              <w:adjustRightInd w:val="0"/>
              <w:jc w:val="both"/>
              <w:rPr>
                <w:color w:val="000000" w:themeColor="text1"/>
                <w:sz w:val="20"/>
                <w:szCs w:val="20"/>
              </w:rPr>
            </w:pPr>
            <w:r>
              <w:rPr>
                <w:color w:val="000000" w:themeColor="text1"/>
                <w:sz w:val="20"/>
                <w:szCs w:val="20"/>
              </w:rPr>
              <w:t>20MHz</w:t>
            </w:r>
          </w:p>
        </w:tc>
      </w:tr>
      <w:tr w:rsidR="008B2C72" w14:paraId="7A82FB2A" w14:textId="77777777" w:rsidTr="008B2C72">
        <w:tc>
          <w:tcPr>
            <w:tcW w:w="4815" w:type="dxa"/>
          </w:tcPr>
          <w:p w14:paraId="3084896F" w14:textId="17A8A0CA" w:rsidR="008B2C72" w:rsidRDefault="008B2C72" w:rsidP="00F176D4">
            <w:pPr>
              <w:autoSpaceDE w:val="0"/>
              <w:autoSpaceDN w:val="0"/>
              <w:adjustRightInd w:val="0"/>
              <w:jc w:val="both"/>
              <w:rPr>
                <w:color w:val="000000" w:themeColor="text1"/>
                <w:sz w:val="20"/>
                <w:szCs w:val="20"/>
              </w:rPr>
            </w:pPr>
            <w:r>
              <w:rPr>
                <w:color w:val="000000" w:themeColor="text1"/>
                <w:sz w:val="20"/>
                <w:szCs w:val="20"/>
              </w:rPr>
              <w:t>RB allocation</w:t>
            </w:r>
          </w:p>
        </w:tc>
        <w:tc>
          <w:tcPr>
            <w:tcW w:w="4816" w:type="dxa"/>
          </w:tcPr>
          <w:p w14:paraId="67992DE8" w14:textId="18A10BD5" w:rsidR="008B2C72" w:rsidRDefault="008B2C72" w:rsidP="00F176D4">
            <w:pPr>
              <w:autoSpaceDE w:val="0"/>
              <w:autoSpaceDN w:val="0"/>
              <w:adjustRightInd w:val="0"/>
              <w:jc w:val="both"/>
              <w:rPr>
                <w:color w:val="000000" w:themeColor="text1"/>
                <w:sz w:val="20"/>
                <w:szCs w:val="20"/>
              </w:rPr>
            </w:pPr>
            <w:r>
              <w:rPr>
                <w:color w:val="000000" w:themeColor="text1"/>
                <w:sz w:val="20"/>
                <w:szCs w:val="20"/>
              </w:rPr>
              <w:t>100RB</w:t>
            </w:r>
          </w:p>
        </w:tc>
      </w:tr>
      <w:tr w:rsidR="008B2C72" w14:paraId="60723227" w14:textId="77777777" w:rsidTr="008B2C72">
        <w:tc>
          <w:tcPr>
            <w:tcW w:w="4815" w:type="dxa"/>
          </w:tcPr>
          <w:p w14:paraId="0DEA6AF4" w14:textId="56C68A93" w:rsidR="008B2C72" w:rsidRDefault="008B2C72" w:rsidP="00F176D4">
            <w:pPr>
              <w:autoSpaceDE w:val="0"/>
              <w:autoSpaceDN w:val="0"/>
              <w:adjustRightInd w:val="0"/>
              <w:jc w:val="both"/>
              <w:rPr>
                <w:color w:val="000000" w:themeColor="text1"/>
                <w:sz w:val="20"/>
                <w:szCs w:val="20"/>
              </w:rPr>
            </w:pPr>
            <w:r>
              <w:rPr>
                <w:rFonts w:hint="eastAsia"/>
                <w:color w:val="000000" w:themeColor="text1"/>
                <w:sz w:val="20"/>
                <w:szCs w:val="20"/>
              </w:rPr>
              <w:t>PC</w:t>
            </w:r>
            <w:r>
              <w:rPr>
                <w:color w:val="000000" w:themeColor="text1"/>
                <w:sz w:val="20"/>
                <w:szCs w:val="20"/>
              </w:rPr>
              <w:t>2/PC3 ACLR</w:t>
            </w:r>
          </w:p>
        </w:tc>
        <w:tc>
          <w:tcPr>
            <w:tcW w:w="4816" w:type="dxa"/>
          </w:tcPr>
          <w:p w14:paraId="7515CD4E" w14:textId="4A7F68DC" w:rsidR="008B2C72" w:rsidRDefault="008B2C72" w:rsidP="00F176D4">
            <w:pPr>
              <w:autoSpaceDE w:val="0"/>
              <w:autoSpaceDN w:val="0"/>
              <w:adjustRightInd w:val="0"/>
              <w:jc w:val="both"/>
              <w:rPr>
                <w:color w:val="000000" w:themeColor="text1"/>
                <w:sz w:val="20"/>
                <w:szCs w:val="20"/>
              </w:rPr>
            </w:pPr>
            <w:r>
              <w:rPr>
                <w:color w:val="000000" w:themeColor="text1"/>
                <w:sz w:val="20"/>
                <w:szCs w:val="20"/>
              </w:rPr>
              <w:t>31/30dB</w:t>
            </w:r>
          </w:p>
        </w:tc>
      </w:tr>
      <w:tr w:rsidR="008B2C72" w14:paraId="51579A28" w14:textId="77777777" w:rsidTr="008B2C72">
        <w:tc>
          <w:tcPr>
            <w:tcW w:w="4815" w:type="dxa"/>
          </w:tcPr>
          <w:p w14:paraId="65E28291" w14:textId="7215B133" w:rsidR="008B2C72" w:rsidRDefault="007039F8" w:rsidP="00F176D4">
            <w:pPr>
              <w:autoSpaceDE w:val="0"/>
              <w:autoSpaceDN w:val="0"/>
              <w:adjustRightInd w:val="0"/>
              <w:jc w:val="both"/>
              <w:rPr>
                <w:color w:val="000000" w:themeColor="text1"/>
                <w:sz w:val="20"/>
                <w:szCs w:val="20"/>
              </w:rPr>
            </w:pPr>
            <w:r>
              <w:rPr>
                <w:color w:val="000000" w:themeColor="text1"/>
                <w:sz w:val="20"/>
                <w:szCs w:val="20"/>
              </w:rPr>
              <w:t>MPR</w:t>
            </w:r>
          </w:p>
        </w:tc>
        <w:tc>
          <w:tcPr>
            <w:tcW w:w="4816" w:type="dxa"/>
          </w:tcPr>
          <w:p w14:paraId="3DB7DAF4" w14:textId="4DDF14AB" w:rsidR="008B2C72" w:rsidRDefault="007039F8" w:rsidP="00F176D4">
            <w:pPr>
              <w:autoSpaceDE w:val="0"/>
              <w:autoSpaceDN w:val="0"/>
              <w:adjustRightInd w:val="0"/>
              <w:jc w:val="both"/>
              <w:rPr>
                <w:color w:val="000000" w:themeColor="text1"/>
                <w:sz w:val="20"/>
                <w:szCs w:val="20"/>
              </w:rPr>
            </w:pPr>
            <w:r>
              <w:rPr>
                <w:color w:val="000000" w:themeColor="text1"/>
                <w:sz w:val="20"/>
                <w:szCs w:val="20"/>
              </w:rPr>
              <w:t>1dB</w:t>
            </w:r>
          </w:p>
        </w:tc>
      </w:tr>
    </w:tbl>
    <w:p w14:paraId="1DD2FA0F" w14:textId="6F308844" w:rsidR="008B2C72" w:rsidRDefault="00340556" w:rsidP="00F176D4">
      <w:pPr>
        <w:autoSpaceDE w:val="0"/>
        <w:autoSpaceDN w:val="0"/>
        <w:adjustRightInd w:val="0"/>
        <w:jc w:val="both"/>
        <w:rPr>
          <w:color w:val="000000" w:themeColor="text1"/>
          <w:sz w:val="20"/>
          <w:szCs w:val="20"/>
        </w:rPr>
      </w:pPr>
      <w:r>
        <w:rPr>
          <w:color w:val="000000" w:themeColor="text1"/>
          <w:sz w:val="20"/>
          <w:szCs w:val="20"/>
        </w:rPr>
        <w:t xml:space="preserve">Besides the ACLR value that was raised in Section 2.2, we can discuss if a larger channel bandwidth than 20MHz needs to be considered. </w:t>
      </w:r>
    </w:p>
    <w:p w14:paraId="0D2AA5E0" w14:textId="77777777" w:rsidR="0042695D" w:rsidRDefault="0042695D" w:rsidP="00487424">
      <w:pPr>
        <w:autoSpaceDE w:val="0"/>
        <w:autoSpaceDN w:val="0"/>
        <w:adjustRightInd w:val="0"/>
        <w:jc w:val="both"/>
        <w:rPr>
          <w:color w:val="000000" w:themeColor="text1"/>
          <w:sz w:val="20"/>
          <w:szCs w:val="20"/>
        </w:rPr>
      </w:pPr>
    </w:p>
    <w:p w14:paraId="0E8E1D82" w14:textId="49C2E02A" w:rsidR="00340556" w:rsidRDefault="00340556" w:rsidP="00340556">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2F2F24">
        <w:rPr>
          <w:b/>
          <w:bCs/>
          <w:i/>
          <w:iCs/>
          <w:color w:val="000000" w:themeColor="text1"/>
          <w:sz w:val="20"/>
          <w:szCs w:val="20"/>
        </w:rPr>
        <w:t>6</w:t>
      </w:r>
      <w:r w:rsidRPr="004B4345">
        <w:rPr>
          <w:b/>
          <w:bCs/>
          <w:i/>
          <w:iCs/>
          <w:color w:val="000000" w:themeColor="text1"/>
          <w:sz w:val="20"/>
          <w:szCs w:val="20"/>
        </w:rPr>
        <w:t xml:space="preserve">: </w:t>
      </w:r>
      <w:r>
        <w:rPr>
          <w:b/>
          <w:bCs/>
          <w:i/>
          <w:iCs/>
          <w:color w:val="000000" w:themeColor="text1"/>
          <w:sz w:val="20"/>
          <w:szCs w:val="20"/>
        </w:rPr>
        <w:t>In the evaluation, it is FFS if a larger than 20MHz CBW should be used.</w:t>
      </w:r>
    </w:p>
    <w:p w14:paraId="63B63586" w14:textId="77777777" w:rsidR="009E1B5E" w:rsidRDefault="009E1B5E" w:rsidP="00435B44">
      <w:pPr>
        <w:rPr>
          <w:color w:val="000000" w:themeColor="text1"/>
          <w:sz w:val="20"/>
          <w:szCs w:val="20"/>
        </w:rPr>
      </w:pPr>
    </w:p>
    <w:p w14:paraId="54636835" w14:textId="723CF47E" w:rsidR="003B313A" w:rsidRPr="00993851" w:rsidRDefault="003B313A" w:rsidP="003B313A">
      <w:pPr>
        <w:pStyle w:val="Heading2"/>
      </w:pPr>
      <w:r>
        <w:t>2.</w:t>
      </w:r>
      <w:r w:rsidR="00D768E4">
        <w:t>4</w:t>
      </w:r>
      <w:r>
        <w:t xml:space="preserve"> Initial results following the methodology</w:t>
      </w:r>
    </w:p>
    <w:p w14:paraId="59128F93" w14:textId="2F040BF2" w:rsidR="008F4E8B" w:rsidRDefault="008F4E8B" w:rsidP="003B313A">
      <w:pPr>
        <w:autoSpaceDE w:val="0"/>
        <w:autoSpaceDN w:val="0"/>
        <w:adjustRightInd w:val="0"/>
        <w:jc w:val="both"/>
        <w:rPr>
          <w:color w:val="000000" w:themeColor="text1"/>
          <w:sz w:val="20"/>
          <w:szCs w:val="20"/>
        </w:rPr>
      </w:pPr>
      <w:r>
        <w:rPr>
          <w:color w:val="000000" w:themeColor="text1"/>
          <w:sz w:val="20"/>
          <w:szCs w:val="20"/>
        </w:rPr>
        <w:t xml:space="preserve">We share some initial </w:t>
      </w:r>
      <w:r w:rsidR="0066013F">
        <w:rPr>
          <w:color w:val="000000" w:themeColor="text1"/>
          <w:sz w:val="20"/>
          <w:szCs w:val="20"/>
        </w:rPr>
        <w:t xml:space="preserve">evaluation </w:t>
      </w:r>
      <w:r>
        <w:rPr>
          <w:color w:val="000000" w:themeColor="text1"/>
          <w:sz w:val="20"/>
          <w:szCs w:val="20"/>
        </w:rPr>
        <w:t>results below based on the discussions above</w:t>
      </w:r>
      <w:r w:rsidR="00BC657B">
        <w:rPr>
          <w:color w:val="000000" w:themeColor="text1"/>
          <w:sz w:val="20"/>
          <w:szCs w:val="20"/>
        </w:rPr>
        <w:t>. In the evaluation, a high-efficiency PC2 PA is used with the calibration conditions given in Section 2.3.</w:t>
      </w:r>
    </w:p>
    <w:p w14:paraId="0BC65963" w14:textId="77777777" w:rsidR="008F4E8B" w:rsidRDefault="008F4E8B" w:rsidP="003B313A">
      <w:pPr>
        <w:autoSpaceDE w:val="0"/>
        <w:autoSpaceDN w:val="0"/>
        <w:adjustRightInd w:val="0"/>
        <w:jc w:val="both"/>
        <w:rPr>
          <w:color w:val="000000" w:themeColor="text1"/>
          <w:sz w:val="20"/>
          <w:szCs w:val="20"/>
        </w:rPr>
      </w:pPr>
    </w:p>
    <w:tbl>
      <w:tblPr>
        <w:tblW w:w="10137" w:type="dxa"/>
        <w:tblLook w:val="04A0" w:firstRow="1" w:lastRow="0" w:firstColumn="1" w:lastColumn="0" w:noHBand="0" w:noVBand="1"/>
      </w:tblPr>
      <w:tblGrid>
        <w:gridCol w:w="1435"/>
        <w:gridCol w:w="2340"/>
        <w:gridCol w:w="900"/>
        <w:gridCol w:w="810"/>
        <w:gridCol w:w="900"/>
        <w:gridCol w:w="988"/>
        <w:gridCol w:w="1022"/>
        <w:gridCol w:w="871"/>
        <w:gridCol w:w="871"/>
      </w:tblGrid>
      <w:tr w:rsidR="00556496" w14:paraId="13983367" w14:textId="77777777" w:rsidTr="00DA0372">
        <w:trPr>
          <w:trHeight w:val="1220"/>
        </w:trPr>
        <w:tc>
          <w:tcPr>
            <w:tcW w:w="1435" w:type="dxa"/>
            <w:tcBorders>
              <w:top w:val="single" w:sz="4" w:space="0" w:color="auto"/>
              <w:left w:val="single" w:sz="4" w:space="0" w:color="auto"/>
              <w:bottom w:val="nil"/>
              <w:right w:val="single" w:sz="4" w:space="0" w:color="auto"/>
            </w:tcBorders>
            <w:vAlign w:val="center"/>
            <w:hideMark/>
          </w:tcPr>
          <w:p w14:paraId="3D4F1B69" w14:textId="77777777" w:rsidR="00556496" w:rsidRPr="00B46038" w:rsidRDefault="00556496" w:rsidP="00DA0372">
            <w:pPr>
              <w:rPr>
                <w:color w:val="000000"/>
                <w:sz w:val="16"/>
                <w:szCs w:val="16"/>
              </w:rPr>
            </w:pPr>
            <w:r w:rsidRPr="00B46038">
              <w:rPr>
                <w:color w:val="000000"/>
                <w:sz w:val="16"/>
                <w:szCs w:val="16"/>
              </w:rPr>
              <w:t>Transparent vs non-Transparent; with BW 20% extension or without BW extension</w:t>
            </w:r>
          </w:p>
        </w:tc>
        <w:tc>
          <w:tcPr>
            <w:tcW w:w="2340" w:type="dxa"/>
            <w:tcBorders>
              <w:top w:val="single" w:sz="4" w:space="0" w:color="auto"/>
              <w:left w:val="nil"/>
              <w:bottom w:val="nil"/>
              <w:right w:val="single" w:sz="4" w:space="0" w:color="auto"/>
            </w:tcBorders>
            <w:vAlign w:val="center"/>
            <w:hideMark/>
          </w:tcPr>
          <w:p w14:paraId="1EDB61D7" w14:textId="77777777" w:rsidR="00556496" w:rsidRPr="00B46038" w:rsidRDefault="00556496" w:rsidP="00DA0372">
            <w:pPr>
              <w:rPr>
                <w:color w:val="000000"/>
                <w:sz w:val="16"/>
                <w:szCs w:val="16"/>
              </w:rPr>
            </w:pPr>
            <w:r w:rsidRPr="00B46038">
              <w:rPr>
                <w:color w:val="000000"/>
                <w:sz w:val="16"/>
                <w:szCs w:val="16"/>
              </w:rPr>
              <w:t>Modulation (with DFT-s-OFDM and Coding Rate=0,3066)</w:t>
            </w:r>
          </w:p>
        </w:tc>
        <w:tc>
          <w:tcPr>
            <w:tcW w:w="900" w:type="dxa"/>
            <w:tcBorders>
              <w:top w:val="single" w:sz="4" w:space="0" w:color="auto"/>
              <w:left w:val="nil"/>
              <w:bottom w:val="nil"/>
              <w:right w:val="single" w:sz="4" w:space="0" w:color="auto"/>
            </w:tcBorders>
            <w:vAlign w:val="center"/>
            <w:hideMark/>
          </w:tcPr>
          <w:p w14:paraId="61452EA6" w14:textId="77777777" w:rsidR="00556496" w:rsidRPr="00B46038" w:rsidRDefault="00556496" w:rsidP="00DA0372">
            <w:pPr>
              <w:rPr>
                <w:color w:val="000000"/>
                <w:sz w:val="16"/>
                <w:szCs w:val="16"/>
              </w:rPr>
            </w:pPr>
            <w:r w:rsidRPr="00B46038">
              <w:rPr>
                <w:color w:val="000000"/>
                <w:sz w:val="16"/>
                <w:szCs w:val="16"/>
              </w:rPr>
              <w:t>Δ</w:t>
            </w:r>
            <w:r w:rsidRPr="00B46038">
              <w:rPr>
                <w:rFonts w:ascii="Cambria Math" w:hAnsi="Cambria Math"/>
                <w:color w:val="000000"/>
                <w:sz w:val="16"/>
                <w:szCs w:val="16"/>
              </w:rPr>
              <w:t>𝑆𝑁𝑅</w:t>
            </w:r>
            <w:r w:rsidRPr="00B46038">
              <w:rPr>
                <w:color w:val="000000"/>
                <w:sz w:val="16"/>
                <w:szCs w:val="16"/>
              </w:rPr>
              <w:t xml:space="preserve"> @10% BLER (dB)</w:t>
            </w:r>
          </w:p>
        </w:tc>
        <w:tc>
          <w:tcPr>
            <w:tcW w:w="810" w:type="dxa"/>
            <w:tcBorders>
              <w:top w:val="single" w:sz="4" w:space="0" w:color="auto"/>
              <w:left w:val="nil"/>
              <w:bottom w:val="nil"/>
              <w:right w:val="single" w:sz="4" w:space="0" w:color="auto"/>
            </w:tcBorders>
            <w:vAlign w:val="center"/>
            <w:hideMark/>
          </w:tcPr>
          <w:p w14:paraId="361B8354" w14:textId="77777777" w:rsidR="00556496" w:rsidRPr="00B46038" w:rsidRDefault="00556496" w:rsidP="00DA0372">
            <w:pPr>
              <w:rPr>
                <w:color w:val="000000"/>
                <w:sz w:val="16"/>
                <w:szCs w:val="16"/>
              </w:rPr>
            </w:pPr>
            <w:r w:rsidRPr="00B46038">
              <w:rPr>
                <w:color w:val="000000"/>
                <w:sz w:val="16"/>
                <w:szCs w:val="16"/>
              </w:rPr>
              <w:t>99.99% ΔPAPR (dB)</w:t>
            </w:r>
          </w:p>
        </w:tc>
        <w:tc>
          <w:tcPr>
            <w:tcW w:w="900" w:type="dxa"/>
            <w:tcBorders>
              <w:top w:val="single" w:sz="4" w:space="0" w:color="auto"/>
              <w:left w:val="nil"/>
              <w:bottom w:val="nil"/>
              <w:right w:val="single" w:sz="4" w:space="0" w:color="auto"/>
            </w:tcBorders>
            <w:vAlign w:val="center"/>
            <w:hideMark/>
          </w:tcPr>
          <w:p w14:paraId="5889EC01" w14:textId="77777777" w:rsidR="00556496" w:rsidRPr="00B46038" w:rsidRDefault="00556496" w:rsidP="00DA0372">
            <w:pPr>
              <w:rPr>
                <w:color w:val="000000"/>
                <w:sz w:val="16"/>
                <w:szCs w:val="16"/>
              </w:rPr>
            </w:pPr>
            <w:proofErr w:type="spellStart"/>
            <w:r w:rsidRPr="00B46038">
              <w:rPr>
                <w:color w:val="000000"/>
                <w:sz w:val="16"/>
                <w:szCs w:val="16"/>
              </w:rPr>
              <w:t>ΔPout</w:t>
            </w:r>
            <w:proofErr w:type="spellEnd"/>
            <w:r w:rsidRPr="00B46038">
              <w:rPr>
                <w:color w:val="000000"/>
                <w:sz w:val="16"/>
                <w:szCs w:val="16"/>
              </w:rPr>
              <w:t xml:space="preserve"> (dBm) @ 31dBc ACLR</w:t>
            </w:r>
          </w:p>
        </w:tc>
        <w:tc>
          <w:tcPr>
            <w:tcW w:w="988" w:type="dxa"/>
            <w:tcBorders>
              <w:top w:val="single" w:sz="4" w:space="0" w:color="auto"/>
              <w:left w:val="nil"/>
              <w:bottom w:val="nil"/>
              <w:right w:val="single" w:sz="4" w:space="0" w:color="auto"/>
            </w:tcBorders>
            <w:vAlign w:val="center"/>
            <w:hideMark/>
          </w:tcPr>
          <w:p w14:paraId="3E2FCEEF" w14:textId="77777777" w:rsidR="00556496" w:rsidRPr="00B46038" w:rsidRDefault="00556496" w:rsidP="00DA0372">
            <w:pPr>
              <w:rPr>
                <w:color w:val="000000"/>
                <w:sz w:val="16"/>
                <w:szCs w:val="16"/>
              </w:rPr>
            </w:pPr>
            <w:proofErr w:type="spellStart"/>
            <w:r w:rsidRPr="00B46038">
              <w:rPr>
                <w:color w:val="000000"/>
                <w:sz w:val="16"/>
                <w:szCs w:val="16"/>
              </w:rPr>
              <w:t>ΔPout</w:t>
            </w:r>
            <w:proofErr w:type="spellEnd"/>
            <w:r w:rsidRPr="00B46038">
              <w:rPr>
                <w:color w:val="000000"/>
                <w:sz w:val="16"/>
                <w:szCs w:val="16"/>
              </w:rPr>
              <w:t xml:space="preserve"> (dBm) @ 37 </w:t>
            </w:r>
            <w:proofErr w:type="spellStart"/>
            <w:r w:rsidRPr="00B46038">
              <w:rPr>
                <w:color w:val="000000"/>
                <w:sz w:val="16"/>
                <w:szCs w:val="16"/>
              </w:rPr>
              <w:t>dBc</w:t>
            </w:r>
            <w:proofErr w:type="spellEnd"/>
            <w:r w:rsidRPr="00B46038">
              <w:rPr>
                <w:color w:val="000000"/>
                <w:sz w:val="16"/>
                <w:szCs w:val="16"/>
              </w:rPr>
              <w:t xml:space="preserve"> ACLR</w:t>
            </w:r>
          </w:p>
        </w:tc>
        <w:tc>
          <w:tcPr>
            <w:tcW w:w="1022" w:type="dxa"/>
            <w:tcBorders>
              <w:top w:val="single" w:sz="4" w:space="0" w:color="auto"/>
              <w:left w:val="nil"/>
              <w:bottom w:val="nil"/>
              <w:right w:val="single" w:sz="4" w:space="0" w:color="auto"/>
            </w:tcBorders>
            <w:vAlign w:val="center"/>
            <w:hideMark/>
          </w:tcPr>
          <w:p w14:paraId="4B22883B" w14:textId="77777777" w:rsidR="00556496" w:rsidRPr="00B46038" w:rsidRDefault="00556496" w:rsidP="00DA0372">
            <w:pPr>
              <w:rPr>
                <w:b/>
                <w:bCs/>
                <w:color w:val="000000"/>
                <w:sz w:val="16"/>
                <w:szCs w:val="16"/>
              </w:rPr>
            </w:pPr>
            <w:r w:rsidRPr="00B46038">
              <w:rPr>
                <w:b/>
                <w:bCs/>
                <w:color w:val="000000"/>
                <w:sz w:val="16"/>
                <w:szCs w:val="16"/>
              </w:rPr>
              <w:t>Net Gain (dB), ΔPAPR-based</w:t>
            </w:r>
          </w:p>
        </w:tc>
        <w:tc>
          <w:tcPr>
            <w:tcW w:w="871" w:type="dxa"/>
            <w:tcBorders>
              <w:top w:val="single" w:sz="4" w:space="0" w:color="auto"/>
              <w:left w:val="nil"/>
              <w:bottom w:val="nil"/>
              <w:right w:val="single" w:sz="4" w:space="0" w:color="auto"/>
            </w:tcBorders>
            <w:vAlign w:val="center"/>
            <w:hideMark/>
          </w:tcPr>
          <w:p w14:paraId="06D11E5F" w14:textId="77777777" w:rsidR="00556496" w:rsidRPr="00B46038" w:rsidRDefault="00556496" w:rsidP="00DA0372">
            <w:pPr>
              <w:rPr>
                <w:color w:val="000000"/>
                <w:sz w:val="16"/>
                <w:szCs w:val="16"/>
              </w:rPr>
            </w:pPr>
            <w:r w:rsidRPr="00B46038">
              <w:rPr>
                <w:b/>
                <w:bCs/>
                <w:color w:val="000000"/>
                <w:sz w:val="16"/>
                <w:szCs w:val="16"/>
              </w:rPr>
              <w:t xml:space="preserve">Net Gain (dB), </w:t>
            </w:r>
            <w:proofErr w:type="spellStart"/>
            <w:r w:rsidRPr="00B46038">
              <w:rPr>
                <w:b/>
                <w:bCs/>
                <w:color w:val="000000"/>
                <w:sz w:val="16"/>
                <w:szCs w:val="16"/>
              </w:rPr>
              <w:t>ΔPout</w:t>
            </w:r>
            <w:proofErr w:type="spellEnd"/>
            <w:r w:rsidRPr="00B46038">
              <w:rPr>
                <w:b/>
                <w:bCs/>
                <w:color w:val="000000"/>
                <w:sz w:val="16"/>
                <w:szCs w:val="16"/>
              </w:rPr>
              <w:t xml:space="preserve">-based @ 31 </w:t>
            </w:r>
            <w:proofErr w:type="spellStart"/>
            <w:r w:rsidRPr="00B46038">
              <w:rPr>
                <w:b/>
                <w:bCs/>
                <w:color w:val="000000"/>
                <w:sz w:val="16"/>
                <w:szCs w:val="16"/>
              </w:rPr>
              <w:t>dBc</w:t>
            </w:r>
            <w:proofErr w:type="spellEnd"/>
            <w:r w:rsidRPr="00B46038">
              <w:rPr>
                <w:b/>
                <w:bCs/>
                <w:color w:val="000000"/>
                <w:sz w:val="16"/>
                <w:szCs w:val="16"/>
              </w:rPr>
              <w:t xml:space="preserve"> ACLR</w:t>
            </w:r>
            <w:r w:rsidRPr="00B46038">
              <w:rPr>
                <w:color w:val="000000"/>
                <w:sz w:val="16"/>
                <w:szCs w:val="16"/>
              </w:rPr>
              <w:t xml:space="preserve"> </w:t>
            </w:r>
          </w:p>
        </w:tc>
        <w:tc>
          <w:tcPr>
            <w:tcW w:w="871" w:type="dxa"/>
            <w:tcBorders>
              <w:top w:val="single" w:sz="4" w:space="0" w:color="auto"/>
              <w:left w:val="nil"/>
              <w:bottom w:val="nil"/>
              <w:right w:val="single" w:sz="4" w:space="0" w:color="auto"/>
            </w:tcBorders>
            <w:vAlign w:val="center"/>
            <w:hideMark/>
          </w:tcPr>
          <w:p w14:paraId="1F86DB4F" w14:textId="77777777" w:rsidR="00556496" w:rsidRPr="00B46038" w:rsidRDefault="00556496" w:rsidP="00DA0372">
            <w:pPr>
              <w:rPr>
                <w:b/>
                <w:bCs/>
                <w:color w:val="000000"/>
                <w:sz w:val="16"/>
                <w:szCs w:val="16"/>
              </w:rPr>
            </w:pPr>
            <w:r w:rsidRPr="00B46038">
              <w:rPr>
                <w:b/>
                <w:bCs/>
                <w:color w:val="000000"/>
                <w:sz w:val="16"/>
                <w:szCs w:val="16"/>
              </w:rPr>
              <w:t xml:space="preserve">Net Gain (dB), </w:t>
            </w:r>
            <w:proofErr w:type="spellStart"/>
            <w:r w:rsidRPr="00B46038">
              <w:rPr>
                <w:b/>
                <w:bCs/>
                <w:color w:val="000000"/>
                <w:sz w:val="16"/>
                <w:szCs w:val="16"/>
              </w:rPr>
              <w:t>ΔPout</w:t>
            </w:r>
            <w:proofErr w:type="spellEnd"/>
            <w:r w:rsidRPr="00B46038">
              <w:rPr>
                <w:b/>
                <w:bCs/>
                <w:color w:val="000000"/>
                <w:sz w:val="16"/>
                <w:szCs w:val="16"/>
              </w:rPr>
              <w:t xml:space="preserve">-based @ 37 </w:t>
            </w:r>
            <w:proofErr w:type="spellStart"/>
            <w:r w:rsidRPr="00B46038">
              <w:rPr>
                <w:b/>
                <w:bCs/>
                <w:color w:val="000000"/>
                <w:sz w:val="16"/>
                <w:szCs w:val="16"/>
              </w:rPr>
              <w:t>dBc</w:t>
            </w:r>
            <w:proofErr w:type="spellEnd"/>
            <w:r w:rsidRPr="00B46038">
              <w:rPr>
                <w:b/>
                <w:bCs/>
                <w:color w:val="000000"/>
                <w:sz w:val="16"/>
                <w:szCs w:val="16"/>
              </w:rPr>
              <w:t xml:space="preserve"> ACLR</w:t>
            </w:r>
          </w:p>
        </w:tc>
      </w:tr>
      <w:tr w:rsidR="00556496" w14:paraId="14246247" w14:textId="77777777" w:rsidTr="00DA0372">
        <w:trPr>
          <w:trHeight w:val="318"/>
        </w:trPr>
        <w:tc>
          <w:tcPr>
            <w:tcW w:w="1435" w:type="dxa"/>
            <w:vMerge w:val="restart"/>
            <w:tcBorders>
              <w:top w:val="nil"/>
              <w:left w:val="single" w:sz="8" w:space="0" w:color="auto"/>
              <w:bottom w:val="single" w:sz="8" w:space="0" w:color="000000"/>
              <w:right w:val="nil"/>
            </w:tcBorders>
            <w:shd w:val="clear" w:color="000000" w:fill="BFBFBF"/>
            <w:vAlign w:val="center"/>
            <w:hideMark/>
          </w:tcPr>
          <w:p w14:paraId="0D438F1E" w14:textId="77777777" w:rsidR="00556496" w:rsidRPr="00B46038" w:rsidRDefault="00556496" w:rsidP="00DA0372">
            <w:pPr>
              <w:jc w:val="center"/>
              <w:rPr>
                <w:color w:val="000000"/>
                <w:sz w:val="16"/>
                <w:szCs w:val="16"/>
              </w:rPr>
            </w:pPr>
            <w:r w:rsidRPr="00B46038">
              <w:rPr>
                <w:color w:val="000000"/>
                <w:sz w:val="16"/>
                <w:szCs w:val="16"/>
              </w:rPr>
              <w:t>non-Transparent, No BW Extension</w:t>
            </w: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73D623F3" w14:textId="77777777" w:rsidR="00556496" w:rsidRPr="00B46038" w:rsidRDefault="00556496" w:rsidP="00DA0372">
            <w:pPr>
              <w:rPr>
                <w:color w:val="000000"/>
                <w:sz w:val="16"/>
                <w:szCs w:val="16"/>
              </w:rPr>
            </w:pPr>
            <w:r w:rsidRPr="00B46038">
              <w:rPr>
                <w:color w:val="000000"/>
                <w:sz w:val="16"/>
                <w:szCs w:val="16"/>
              </w:rPr>
              <w:t>π/2-BPSK</w:t>
            </w:r>
          </w:p>
        </w:tc>
        <w:tc>
          <w:tcPr>
            <w:tcW w:w="900" w:type="dxa"/>
            <w:tcBorders>
              <w:top w:val="nil"/>
              <w:left w:val="nil"/>
              <w:bottom w:val="single" w:sz="4" w:space="0" w:color="auto"/>
              <w:right w:val="single" w:sz="4" w:space="0" w:color="auto"/>
            </w:tcBorders>
            <w:shd w:val="clear" w:color="000000" w:fill="BFBFBF"/>
            <w:vAlign w:val="center"/>
            <w:hideMark/>
          </w:tcPr>
          <w:p w14:paraId="792E0800" w14:textId="77777777" w:rsidR="00556496" w:rsidRPr="00B46038" w:rsidRDefault="00556496" w:rsidP="00DA0372">
            <w:pPr>
              <w:jc w:val="right"/>
              <w:rPr>
                <w:color w:val="000000"/>
                <w:sz w:val="16"/>
                <w:szCs w:val="16"/>
              </w:rPr>
            </w:pPr>
            <w:r w:rsidRPr="00B46038">
              <w:rPr>
                <w:color w:val="000000"/>
                <w:sz w:val="16"/>
                <w:szCs w:val="16"/>
              </w:rPr>
              <w:t>0</w:t>
            </w:r>
          </w:p>
        </w:tc>
        <w:tc>
          <w:tcPr>
            <w:tcW w:w="810" w:type="dxa"/>
            <w:tcBorders>
              <w:top w:val="nil"/>
              <w:left w:val="nil"/>
              <w:bottom w:val="single" w:sz="4" w:space="0" w:color="auto"/>
              <w:right w:val="single" w:sz="4" w:space="0" w:color="auto"/>
            </w:tcBorders>
            <w:shd w:val="clear" w:color="000000" w:fill="BFBFBF"/>
            <w:vAlign w:val="center"/>
            <w:hideMark/>
          </w:tcPr>
          <w:p w14:paraId="75F5E966" w14:textId="77777777" w:rsidR="00556496" w:rsidRPr="00B46038" w:rsidRDefault="00556496" w:rsidP="00DA0372">
            <w:pPr>
              <w:jc w:val="right"/>
              <w:rPr>
                <w:color w:val="000000"/>
                <w:sz w:val="16"/>
                <w:szCs w:val="16"/>
              </w:rPr>
            </w:pPr>
            <w:r w:rsidRPr="00B46038">
              <w:rPr>
                <w:color w:val="000000"/>
                <w:sz w:val="16"/>
                <w:szCs w:val="16"/>
              </w:rPr>
              <w:t>0</w:t>
            </w:r>
          </w:p>
        </w:tc>
        <w:tc>
          <w:tcPr>
            <w:tcW w:w="900" w:type="dxa"/>
            <w:tcBorders>
              <w:top w:val="nil"/>
              <w:left w:val="nil"/>
              <w:bottom w:val="single" w:sz="4" w:space="0" w:color="auto"/>
              <w:right w:val="single" w:sz="4" w:space="0" w:color="auto"/>
            </w:tcBorders>
            <w:shd w:val="clear" w:color="000000" w:fill="BFBFBF"/>
            <w:vAlign w:val="center"/>
            <w:hideMark/>
          </w:tcPr>
          <w:p w14:paraId="7607E291" w14:textId="77777777" w:rsidR="00556496" w:rsidRPr="00B46038" w:rsidRDefault="00556496" w:rsidP="00DA0372">
            <w:pPr>
              <w:jc w:val="right"/>
              <w:rPr>
                <w:color w:val="000000"/>
                <w:sz w:val="16"/>
                <w:szCs w:val="16"/>
              </w:rPr>
            </w:pPr>
            <w:r w:rsidRPr="00B46038">
              <w:rPr>
                <w:color w:val="000000"/>
                <w:sz w:val="16"/>
                <w:szCs w:val="16"/>
              </w:rPr>
              <w:t>0</w:t>
            </w:r>
          </w:p>
        </w:tc>
        <w:tc>
          <w:tcPr>
            <w:tcW w:w="988" w:type="dxa"/>
            <w:tcBorders>
              <w:top w:val="nil"/>
              <w:left w:val="nil"/>
              <w:bottom w:val="single" w:sz="4" w:space="0" w:color="auto"/>
              <w:right w:val="single" w:sz="4" w:space="0" w:color="auto"/>
            </w:tcBorders>
            <w:shd w:val="clear" w:color="000000" w:fill="BFBFBF"/>
            <w:vAlign w:val="center"/>
            <w:hideMark/>
          </w:tcPr>
          <w:p w14:paraId="278BBFE6" w14:textId="77777777" w:rsidR="00556496" w:rsidRPr="00B46038" w:rsidRDefault="00556496" w:rsidP="00DA0372">
            <w:pPr>
              <w:jc w:val="right"/>
              <w:rPr>
                <w:color w:val="000000"/>
                <w:sz w:val="16"/>
                <w:szCs w:val="16"/>
              </w:rPr>
            </w:pPr>
            <w:r w:rsidRPr="00B46038">
              <w:rPr>
                <w:color w:val="000000"/>
                <w:sz w:val="16"/>
                <w:szCs w:val="16"/>
              </w:rPr>
              <w:t>0</w:t>
            </w:r>
          </w:p>
        </w:tc>
        <w:tc>
          <w:tcPr>
            <w:tcW w:w="1022" w:type="dxa"/>
            <w:tcBorders>
              <w:top w:val="nil"/>
              <w:left w:val="nil"/>
              <w:bottom w:val="single" w:sz="4" w:space="0" w:color="auto"/>
              <w:right w:val="single" w:sz="4" w:space="0" w:color="auto"/>
            </w:tcBorders>
            <w:shd w:val="clear" w:color="000000" w:fill="BFBFBF"/>
            <w:vAlign w:val="center"/>
            <w:hideMark/>
          </w:tcPr>
          <w:p w14:paraId="374DB1B2" w14:textId="77777777" w:rsidR="00556496" w:rsidRPr="00B46038" w:rsidRDefault="00556496" w:rsidP="00DA0372">
            <w:pPr>
              <w:jc w:val="right"/>
              <w:rPr>
                <w:color w:val="000000"/>
                <w:sz w:val="16"/>
                <w:szCs w:val="16"/>
              </w:rPr>
            </w:pPr>
            <w:r w:rsidRPr="00B46038">
              <w:rPr>
                <w:color w:val="000000"/>
                <w:sz w:val="16"/>
                <w:szCs w:val="16"/>
              </w:rPr>
              <w:t>0</w:t>
            </w:r>
          </w:p>
        </w:tc>
        <w:tc>
          <w:tcPr>
            <w:tcW w:w="871" w:type="dxa"/>
            <w:tcBorders>
              <w:top w:val="nil"/>
              <w:left w:val="nil"/>
              <w:bottom w:val="single" w:sz="4" w:space="0" w:color="auto"/>
              <w:right w:val="single" w:sz="4" w:space="0" w:color="auto"/>
            </w:tcBorders>
            <w:shd w:val="clear" w:color="000000" w:fill="BFBFBF"/>
            <w:vAlign w:val="center"/>
            <w:hideMark/>
          </w:tcPr>
          <w:p w14:paraId="3AA6DD05" w14:textId="77777777" w:rsidR="00556496" w:rsidRPr="00B46038" w:rsidRDefault="00556496" w:rsidP="00DA0372">
            <w:pPr>
              <w:jc w:val="right"/>
              <w:rPr>
                <w:color w:val="000000"/>
                <w:sz w:val="16"/>
                <w:szCs w:val="16"/>
              </w:rPr>
            </w:pPr>
            <w:r w:rsidRPr="00B46038">
              <w:rPr>
                <w:color w:val="000000"/>
                <w:sz w:val="16"/>
                <w:szCs w:val="16"/>
              </w:rPr>
              <w:t>0</w:t>
            </w:r>
          </w:p>
        </w:tc>
        <w:tc>
          <w:tcPr>
            <w:tcW w:w="871" w:type="dxa"/>
            <w:tcBorders>
              <w:top w:val="nil"/>
              <w:left w:val="nil"/>
              <w:bottom w:val="single" w:sz="4" w:space="0" w:color="auto"/>
              <w:right w:val="single" w:sz="8" w:space="0" w:color="auto"/>
            </w:tcBorders>
            <w:shd w:val="clear" w:color="000000" w:fill="BFBFBF"/>
            <w:vAlign w:val="center"/>
            <w:hideMark/>
          </w:tcPr>
          <w:p w14:paraId="2E79DD1D" w14:textId="77777777" w:rsidR="00556496" w:rsidRPr="00B46038" w:rsidRDefault="00556496" w:rsidP="00DA0372">
            <w:pPr>
              <w:jc w:val="right"/>
              <w:rPr>
                <w:color w:val="000000"/>
                <w:sz w:val="16"/>
                <w:szCs w:val="16"/>
              </w:rPr>
            </w:pPr>
            <w:r w:rsidRPr="00B46038">
              <w:rPr>
                <w:color w:val="000000"/>
                <w:sz w:val="16"/>
                <w:szCs w:val="16"/>
              </w:rPr>
              <w:t>0</w:t>
            </w:r>
          </w:p>
        </w:tc>
      </w:tr>
      <w:tr w:rsidR="00556496" w14:paraId="55848C27" w14:textId="77777777" w:rsidTr="00DA0372">
        <w:trPr>
          <w:trHeight w:val="318"/>
        </w:trPr>
        <w:tc>
          <w:tcPr>
            <w:tcW w:w="1435" w:type="dxa"/>
            <w:vMerge/>
            <w:tcBorders>
              <w:top w:val="nil"/>
              <w:left w:val="single" w:sz="8" w:space="0" w:color="auto"/>
              <w:bottom w:val="single" w:sz="8" w:space="0" w:color="000000"/>
              <w:right w:val="nil"/>
            </w:tcBorders>
            <w:vAlign w:val="center"/>
            <w:hideMark/>
          </w:tcPr>
          <w:p w14:paraId="52DAEEDF" w14:textId="77777777" w:rsidR="00556496" w:rsidRPr="00B46038" w:rsidRDefault="00556496" w:rsidP="00DA0372">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340AB9E1" w14:textId="77777777" w:rsidR="00556496" w:rsidRPr="00B46038" w:rsidRDefault="00556496" w:rsidP="00DA0372">
            <w:pPr>
              <w:rPr>
                <w:color w:val="000000"/>
                <w:sz w:val="16"/>
                <w:szCs w:val="16"/>
              </w:rPr>
            </w:pPr>
            <w:r w:rsidRPr="00B46038">
              <w:rPr>
                <w:color w:val="000000"/>
                <w:sz w:val="16"/>
                <w:szCs w:val="16"/>
              </w:rPr>
              <w:t>π/2-BPSK + FDSS [0.28 1 0.28]</w:t>
            </w:r>
          </w:p>
        </w:tc>
        <w:tc>
          <w:tcPr>
            <w:tcW w:w="900" w:type="dxa"/>
            <w:tcBorders>
              <w:top w:val="nil"/>
              <w:left w:val="nil"/>
              <w:bottom w:val="single" w:sz="4" w:space="0" w:color="auto"/>
              <w:right w:val="single" w:sz="4" w:space="0" w:color="auto"/>
            </w:tcBorders>
            <w:shd w:val="clear" w:color="000000" w:fill="BFBFBF"/>
            <w:vAlign w:val="center"/>
            <w:hideMark/>
          </w:tcPr>
          <w:p w14:paraId="1A89B08D" w14:textId="77777777" w:rsidR="00556496" w:rsidRPr="00B46038" w:rsidRDefault="00556496" w:rsidP="00DA0372">
            <w:pPr>
              <w:jc w:val="right"/>
              <w:rPr>
                <w:color w:val="000000"/>
                <w:sz w:val="16"/>
                <w:szCs w:val="16"/>
              </w:rPr>
            </w:pPr>
            <w:r w:rsidRPr="00B46038">
              <w:rPr>
                <w:color w:val="000000"/>
                <w:sz w:val="16"/>
                <w:szCs w:val="16"/>
              </w:rPr>
              <w:t>-0,58</w:t>
            </w:r>
          </w:p>
        </w:tc>
        <w:tc>
          <w:tcPr>
            <w:tcW w:w="810" w:type="dxa"/>
            <w:tcBorders>
              <w:top w:val="nil"/>
              <w:left w:val="nil"/>
              <w:bottom w:val="single" w:sz="4" w:space="0" w:color="auto"/>
              <w:right w:val="single" w:sz="4" w:space="0" w:color="auto"/>
            </w:tcBorders>
            <w:shd w:val="clear" w:color="000000" w:fill="BFBFBF"/>
            <w:vAlign w:val="center"/>
            <w:hideMark/>
          </w:tcPr>
          <w:p w14:paraId="2F46D376" w14:textId="77777777" w:rsidR="00556496" w:rsidRPr="00B46038" w:rsidRDefault="00556496" w:rsidP="00DA0372">
            <w:pPr>
              <w:jc w:val="right"/>
              <w:rPr>
                <w:color w:val="000000"/>
                <w:sz w:val="16"/>
                <w:szCs w:val="16"/>
              </w:rPr>
            </w:pPr>
            <w:r w:rsidRPr="00B46038">
              <w:rPr>
                <w:color w:val="000000"/>
                <w:sz w:val="16"/>
                <w:szCs w:val="16"/>
              </w:rPr>
              <w:t>3,56</w:t>
            </w:r>
          </w:p>
        </w:tc>
        <w:tc>
          <w:tcPr>
            <w:tcW w:w="900" w:type="dxa"/>
            <w:tcBorders>
              <w:top w:val="nil"/>
              <w:left w:val="nil"/>
              <w:bottom w:val="single" w:sz="4" w:space="0" w:color="auto"/>
              <w:right w:val="single" w:sz="4" w:space="0" w:color="auto"/>
            </w:tcBorders>
            <w:shd w:val="clear" w:color="000000" w:fill="BFBFBF"/>
            <w:vAlign w:val="center"/>
            <w:hideMark/>
          </w:tcPr>
          <w:p w14:paraId="4B2B1F39" w14:textId="77777777" w:rsidR="00556496" w:rsidRPr="00B46038" w:rsidRDefault="00556496" w:rsidP="00DA0372">
            <w:pPr>
              <w:jc w:val="right"/>
              <w:rPr>
                <w:color w:val="000000"/>
                <w:sz w:val="16"/>
                <w:szCs w:val="16"/>
              </w:rPr>
            </w:pPr>
            <w:r w:rsidRPr="00B46038">
              <w:rPr>
                <w:color w:val="000000"/>
                <w:sz w:val="16"/>
                <w:szCs w:val="16"/>
              </w:rPr>
              <w:t>4,54</w:t>
            </w:r>
          </w:p>
        </w:tc>
        <w:tc>
          <w:tcPr>
            <w:tcW w:w="988" w:type="dxa"/>
            <w:tcBorders>
              <w:top w:val="nil"/>
              <w:left w:val="nil"/>
              <w:bottom w:val="single" w:sz="4" w:space="0" w:color="auto"/>
              <w:right w:val="single" w:sz="4" w:space="0" w:color="auto"/>
            </w:tcBorders>
            <w:shd w:val="clear" w:color="000000" w:fill="BFBFBF"/>
            <w:vAlign w:val="center"/>
            <w:hideMark/>
          </w:tcPr>
          <w:p w14:paraId="5059A0E0" w14:textId="77777777" w:rsidR="00556496" w:rsidRPr="00B46038" w:rsidRDefault="00556496" w:rsidP="00DA0372">
            <w:pPr>
              <w:jc w:val="right"/>
              <w:rPr>
                <w:color w:val="000000"/>
                <w:sz w:val="16"/>
                <w:szCs w:val="16"/>
              </w:rPr>
            </w:pPr>
            <w:r w:rsidRPr="00B46038">
              <w:rPr>
                <w:color w:val="000000"/>
                <w:sz w:val="16"/>
                <w:szCs w:val="16"/>
              </w:rPr>
              <w:t>4,88</w:t>
            </w:r>
          </w:p>
        </w:tc>
        <w:tc>
          <w:tcPr>
            <w:tcW w:w="1022" w:type="dxa"/>
            <w:tcBorders>
              <w:top w:val="nil"/>
              <w:left w:val="nil"/>
              <w:bottom w:val="single" w:sz="4" w:space="0" w:color="auto"/>
              <w:right w:val="single" w:sz="4" w:space="0" w:color="auto"/>
            </w:tcBorders>
            <w:shd w:val="clear" w:color="000000" w:fill="BFBFBF"/>
            <w:vAlign w:val="center"/>
            <w:hideMark/>
          </w:tcPr>
          <w:p w14:paraId="197DA30B" w14:textId="77777777" w:rsidR="00556496" w:rsidRPr="00B46038" w:rsidRDefault="00556496" w:rsidP="00DA0372">
            <w:pPr>
              <w:jc w:val="right"/>
              <w:rPr>
                <w:color w:val="000000"/>
                <w:sz w:val="16"/>
                <w:szCs w:val="16"/>
              </w:rPr>
            </w:pPr>
            <w:r w:rsidRPr="00B46038">
              <w:rPr>
                <w:color w:val="000000"/>
                <w:sz w:val="16"/>
                <w:szCs w:val="16"/>
              </w:rPr>
              <w:t>2,98</w:t>
            </w:r>
          </w:p>
        </w:tc>
        <w:tc>
          <w:tcPr>
            <w:tcW w:w="871" w:type="dxa"/>
            <w:tcBorders>
              <w:top w:val="nil"/>
              <w:left w:val="nil"/>
              <w:bottom w:val="single" w:sz="4" w:space="0" w:color="auto"/>
              <w:right w:val="single" w:sz="4" w:space="0" w:color="auto"/>
            </w:tcBorders>
            <w:shd w:val="clear" w:color="000000" w:fill="BFBFBF"/>
            <w:vAlign w:val="center"/>
            <w:hideMark/>
          </w:tcPr>
          <w:p w14:paraId="03E4A588" w14:textId="77777777" w:rsidR="00556496" w:rsidRPr="00B46038" w:rsidRDefault="00556496" w:rsidP="00DA0372">
            <w:pPr>
              <w:jc w:val="right"/>
              <w:rPr>
                <w:color w:val="000000"/>
                <w:sz w:val="16"/>
                <w:szCs w:val="16"/>
              </w:rPr>
            </w:pPr>
            <w:r w:rsidRPr="00B46038">
              <w:rPr>
                <w:color w:val="000000"/>
                <w:sz w:val="16"/>
                <w:szCs w:val="16"/>
              </w:rPr>
              <w:t>3,96</w:t>
            </w:r>
          </w:p>
        </w:tc>
        <w:tc>
          <w:tcPr>
            <w:tcW w:w="871" w:type="dxa"/>
            <w:tcBorders>
              <w:top w:val="nil"/>
              <w:left w:val="nil"/>
              <w:bottom w:val="single" w:sz="4" w:space="0" w:color="auto"/>
              <w:right w:val="single" w:sz="8" w:space="0" w:color="auto"/>
            </w:tcBorders>
            <w:shd w:val="clear" w:color="000000" w:fill="BFBFBF"/>
            <w:vAlign w:val="center"/>
            <w:hideMark/>
          </w:tcPr>
          <w:p w14:paraId="75AEFF49" w14:textId="77777777" w:rsidR="00556496" w:rsidRPr="00B46038" w:rsidRDefault="00556496" w:rsidP="00DA0372">
            <w:pPr>
              <w:jc w:val="right"/>
              <w:rPr>
                <w:color w:val="000000"/>
                <w:sz w:val="16"/>
                <w:szCs w:val="16"/>
              </w:rPr>
            </w:pPr>
            <w:r w:rsidRPr="00B46038">
              <w:rPr>
                <w:color w:val="000000"/>
                <w:sz w:val="16"/>
                <w:szCs w:val="16"/>
              </w:rPr>
              <w:t>4,3</w:t>
            </w:r>
          </w:p>
        </w:tc>
      </w:tr>
      <w:tr w:rsidR="00556496" w14:paraId="45D25F18" w14:textId="77777777" w:rsidTr="00DA0372">
        <w:trPr>
          <w:trHeight w:val="318"/>
        </w:trPr>
        <w:tc>
          <w:tcPr>
            <w:tcW w:w="1435" w:type="dxa"/>
            <w:vMerge/>
            <w:tcBorders>
              <w:top w:val="nil"/>
              <w:left w:val="single" w:sz="8" w:space="0" w:color="auto"/>
              <w:bottom w:val="single" w:sz="8" w:space="0" w:color="000000"/>
              <w:right w:val="nil"/>
            </w:tcBorders>
            <w:vAlign w:val="center"/>
            <w:hideMark/>
          </w:tcPr>
          <w:p w14:paraId="59019EF1" w14:textId="77777777" w:rsidR="00556496" w:rsidRPr="00B46038" w:rsidRDefault="00556496" w:rsidP="00DA0372">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2E3B572C" w14:textId="77777777" w:rsidR="00556496" w:rsidRPr="00B46038" w:rsidRDefault="00556496" w:rsidP="00DA0372">
            <w:pPr>
              <w:rPr>
                <w:color w:val="000000"/>
                <w:sz w:val="16"/>
                <w:szCs w:val="16"/>
              </w:rPr>
            </w:pPr>
            <w:r w:rsidRPr="00B46038">
              <w:rPr>
                <w:color w:val="000000"/>
                <w:sz w:val="16"/>
                <w:szCs w:val="16"/>
              </w:rPr>
              <w:t>π/2-BPSK + FDSS [0.175 1 0.175]</w:t>
            </w:r>
          </w:p>
        </w:tc>
        <w:tc>
          <w:tcPr>
            <w:tcW w:w="900" w:type="dxa"/>
            <w:tcBorders>
              <w:top w:val="nil"/>
              <w:left w:val="nil"/>
              <w:bottom w:val="single" w:sz="4" w:space="0" w:color="auto"/>
              <w:right w:val="single" w:sz="4" w:space="0" w:color="auto"/>
            </w:tcBorders>
            <w:shd w:val="clear" w:color="000000" w:fill="BFBFBF"/>
            <w:vAlign w:val="center"/>
            <w:hideMark/>
          </w:tcPr>
          <w:p w14:paraId="358C01BC" w14:textId="77777777" w:rsidR="00556496" w:rsidRPr="00B46038" w:rsidRDefault="00556496" w:rsidP="00DA0372">
            <w:pPr>
              <w:jc w:val="right"/>
              <w:rPr>
                <w:color w:val="000000"/>
                <w:sz w:val="16"/>
                <w:szCs w:val="16"/>
              </w:rPr>
            </w:pPr>
            <w:r w:rsidRPr="00B46038">
              <w:rPr>
                <w:color w:val="000000"/>
                <w:sz w:val="16"/>
                <w:szCs w:val="16"/>
              </w:rPr>
              <w:t>-0,23</w:t>
            </w:r>
          </w:p>
        </w:tc>
        <w:tc>
          <w:tcPr>
            <w:tcW w:w="810" w:type="dxa"/>
            <w:tcBorders>
              <w:top w:val="nil"/>
              <w:left w:val="nil"/>
              <w:bottom w:val="single" w:sz="4" w:space="0" w:color="auto"/>
              <w:right w:val="single" w:sz="4" w:space="0" w:color="auto"/>
            </w:tcBorders>
            <w:shd w:val="clear" w:color="000000" w:fill="BFBFBF"/>
            <w:vAlign w:val="center"/>
            <w:hideMark/>
          </w:tcPr>
          <w:p w14:paraId="572B5F77" w14:textId="77777777" w:rsidR="00556496" w:rsidRPr="00B46038" w:rsidRDefault="00556496" w:rsidP="00DA0372">
            <w:pPr>
              <w:jc w:val="right"/>
              <w:rPr>
                <w:color w:val="000000"/>
                <w:sz w:val="16"/>
                <w:szCs w:val="16"/>
              </w:rPr>
            </w:pPr>
            <w:r w:rsidRPr="00B46038">
              <w:rPr>
                <w:color w:val="000000"/>
                <w:sz w:val="16"/>
                <w:szCs w:val="16"/>
              </w:rPr>
              <w:t>2,07</w:t>
            </w:r>
          </w:p>
        </w:tc>
        <w:tc>
          <w:tcPr>
            <w:tcW w:w="900" w:type="dxa"/>
            <w:tcBorders>
              <w:top w:val="nil"/>
              <w:left w:val="nil"/>
              <w:bottom w:val="single" w:sz="4" w:space="0" w:color="auto"/>
              <w:right w:val="single" w:sz="4" w:space="0" w:color="auto"/>
            </w:tcBorders>
            <w:shd w:val="clear" w:color="000000" w:fill="BFBFBF"/>
            <w:vAlign w:val="center"/>
            <w:hideMark/>
          </w:tcPr>
          <w:p w14:paraId="35FA2DB9" w14:textId="77777777" w:rsidR="00556496" w:rsidRPr="00B46038" w:rsidRDefault="00556496" w:rsidP="00DA0372">
            <w:pPr>
              <w:jc w:val="right"/>
              <w:rPr>
                <w:color w:val="000000"/>
                <w:sz w:val="16"/>
                <w:szCs w:val="16"/>
              </w:rPr>
            </w:pPr>
            <w:r w:rsidRPr="00B46038">
              <w:rPr>
                <w:color w:val="000000"/>
                <w:sz w:val="16"/>
                <w:szCs w:val="16"/>
              </w:rPr>
              <w:t>2,8</w:t>
            </w:r>
          </w:p>
        </w:tc>
        <w:tc>
          <w:tcPr>
            <w:tcW w:w="988" w:type="dxa"/>
            <w:tcBorders>
              <w:top w:val="nil"/>
              <w:left w:val="nil"/>
              <w:bottom w:val="single" w:sz="4" w:space="0" w:color="auto"/>
              <w:right w:val="single" w:sz="4" w:space="0" w:color="auto"/>
            </w:tcBorders>
            <w:shd w:val="clear" w:color="000000" w:fill="BFBFBF"/>
            <w:vAlign w:val="center"/>
            <w:hideMark/>
          </w:tcPr>
          <w:p w14:paraId="59B8F5B6" w14:textId="77777777" w:rsidR="00556496" w:rsidRPr="00B46038" w:rsidRDefault="00556496" w:rsidP="00DA0372">
            <w:pPr>
              <w:jc w:val="right"/>
              <w:rPr>
                <w:color w:val="000000"/>
                <w:sz w:val="16"/>
                <w:szCs w:val="16"/>
              </w:rPr>
            </w:pPr>
            <w:r w:rsidRPr="00B46038">
              <w:rPr>
                <w:color w:val="000000"/>
                <w:sz w:val="16"/>
                <w:szCs w:val="16"/>
              </w:rPr>
              <w:t>2,88</w:t>
            </w:r>
          </w:p>
        </w:tc>
        <w:tc>
          <w:tcPr>
            <w:tcW w:w="1022" w:type="dxa"/>
            <w:tcBorders>
              <w:top w:val="nil"/>
              <w:left w:val="nil"/>
              <w:bottom w:val="single" w:sz="4" w:space="0" w:color="auto"/>
              <w:right w:val="single" w:sz="4" w:space="0" w:color="auto"/>
            </w:tcBorders>
            <w:shd w:val="clear" w:color="000000" w:fill="BFBFBF"/>
            <w:vAlign w:val="center"/>
            <w:hideMark/>
          </w:tcPr>
          <w:p w14:paraId="27B7295A" w14:textId="77777777" w:rsidR="00556496" w:rsidRPr="00B46038" w:rsidRDefault="00556496" w:rsidP="00DA0372">
            <w:pPr>
              <w:jc w:val="right"/>
              <w:rPr>
                <w:color w:val="000000"/>
                <w:sz w:val="16"/>
                <w:szCs w:val="16"/>
              </w:rPr>
            </w:pPr>
            <w:r w:rsidRPr="00B46038">
              <w:rPr>
                <w:color w:val="000000"/>
                <w:sz w:val="16"/>
                <w:szCs w:val="16"/>
              </w:rPr>
              <w:t>1,84</w:t>
            </w:r>
          </w:p>
        </w:tc>
        <w:tc>
          <w:tcPr>
            <w:tcW w:w="871" w:type="dxa"/>
            <w:tcBorders>
              <w:top w:val="nil"/>
              <w:left w:val="nil"/>
              <w:bottom w:val="single" w:sz="4" w:space="0" w:color="auto"/>
              <w:right w:val="single" w:sz="4" w:space="0" w:color="auto"/>
            </w:tcBorders>
            <w:shd w:val="clear" w:color="000000" w:fill="BFBFBF"/>
            <w:vAlign w:val="center"/>
            <w:hideMark/>
          </w:tcPr>
          <w:p w14:paraId="38BA1A31" w14:textId="77777777" w:rsidR="00556496" w:rsidRPr="00B46038" w:rsidRDefault="00556496" w:rsidP="00DA0372">
            <w:pPr>
              <w:jc w:val="right"/>
              <w:rPr>
                <w:color w:val="000000"/>
                <w:sz w:val="16"/>
                <w:szCs w:val="16"/>
              </w:rPr>
            </w:pPr>
            <w:r w:rsidRPr="00B46038">
              <w:rPr>
                <w:color w:val="000000"/>
                <w:sz w:val="16"/>
                <w:szCs w:val="16"/>
              </w:rPr>
              <w:t>2,57</w:t>
            </w:r>
          </w:p>
        </w:tc>
        <w:tc>
          <w:tcPr>
            <w:tcW w:w="871" w:type="dxa"/>
            <w:tcBorders>
              <w:top w:val="nil"/>
              <w:left w:val="nil"/>
              <w:bottom w:val="single" w:sz="4" w:space="0" w:color="auto"/>
              <w:right w:val="single" w:sz="8" w:space="0" w:color="auto"/>
            </w:tcBorders>
            <w:shd w:val="clear" w:color="000000" w:fill="BFBFBF"/>
            <w:vAlign w:val="center"/>
            <w:hideMark/>
          </w:tcPr>
          <w:p w14:paraId="568BA1FE" w14:textId="77777777" w:rsidR="00556496" w:rsidRPr="00B46038" w:rsidRDefault="00556496" w:rsidP="00DA0372">
            <w:pPr>
              <w:jc w:val="right"/>
              <w:rPr>
                <w:color w:val="000000"/>
                <w:sz w:val="16"/>
                <w:szCs w:val="16"/>
              </w:rPr>
            </w:pPr>
            <w:r w:rsidRPr="00B46038">
              <w:rPr>
                <w:color w:val="000000"/>
                <w:sz w:val="16"/>
                <w:szCs w:val="16"/>
              </w:rPr>
              <w:t>2,65</w:t>
            </w:r>
          </w:p>
        </w:tc>
      </w:tr>
      <w:tr w:rsidR="00556496" w14:paraId="4991E913" w14:textId="77777777" w:rsidTr="00DA0372">
        <w:trPr>
          <w:trHeight w:val="318"/>
        </w:trPr>
        <w:tc>
          <w:tcPr>
            <w:tcW w:w="1435" w:type="dxa"/>
            <w:vMerge/>
            <w:tcBorders>
              <w:top w:val="nil"/>
              <w:left w:val="single" w:sz="8" w:space="0" w:color="auto"/>
              <w:bottom w:val="single" w:sz="8" w:space="0" w:color="000000"/>
              <w:right w:val="nil"/>
            </w:tcBorders>
            <w:vAlign w:val="center"/>
            <w:hideMark/>
          </w:tcPr>
          <w:p w14:paraId="3297030C" w14:textId="77777777" w:rsidR="00556496" w:rsidRPr="00B46038" w:rsidRDefault="00556496" w:rsidP="00DA0372">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665CA957" w14:textId="77777777" w:rsidR="00556496" w:rsidRPr="00B46038" w:rsidRDefault="00556496" w:rsidP="00DA0372">
            <w:pPr>
              <w:rPr>
                <w:color w:val="000000"/>
                <w:sz w:val="16"/>
                <w:szCs w:val="16"/>
              </w:rPr>
            </w:pPr>
            <w:r w:rsidRPr="00B46038">
              <w:rPr>
                <w:color w:val="000000"/>
                <w:sz w:val="16"/>
                <w:szCs w:val="16"/>
              </w:rPr>
              <w:t>GMSK 1-pulse (BT=0.5)</w:t>
            </w:r>
          </w:p>
        </w:tc>
        <w:tc>
          <w:tcPr>
            <w:tcW w:w="900" w:type="dxa"/>
            <w:tcBorders>
              <w:top w:val="nil"/>
              <w:left w:val="nil"/>
              <w:bottom w:val="single" w:sz="4" w:space="0" w:color="auto"/>
              <w:right w:val="single" w:sz="4" w:space="0" w:color="auto"/>
            </w:tcBorders>
            <w:shd w:val="clear" w:color="000000" w:fill="BFBFBF"/>
            <w:vAlign w:val="center"/>
            <w:hideMark/>
          </w:tcPr>
          <w:p w14:paraId="0BD96179" w14:textId="77777777" w:rsidR="00556496" w:rsidRPr="00B46038" w:rsidRDefault="00556496" w:rsidP="00DA0372">
            <w:pPr>
              <w:jc w:val="right"/>
              <w:rPr>
                <w:color w:val="000000"/>
                <w:sz w:val="16"/>
                <w:szCs w:val="16"/>
              </w:rPr>
            </w:pPr>
            <w:r w:rsidRPr="00B46038">
              <w:rPr>
                <w:color w:val="000000"/>
                <w:sz w:val="16"/>
                <w:szCs w:val="16"/>
              </w:rPr>
              <w:t>-0,32</w:t>
            </w:r>
          </w:p>
        </w:tc>
        <w:tc>
          <w:tcPr>
            <w:tcW w:w="810" w:type="dxa"/>
            <w:tcBorders>
              <w:top w:val="nil"/>
              <w:left w:val="nil"/>
              <w:bottom w:val="single" w:sz="4" w:space="0" w:color="auto"/>
              <w:right w:val="single" w:sz="4" w:space="0" w:color="auto"/>
            </w:tcBorders>
            <w:shd w:val="clear" w:color="000000" w:fill="BFBFBF"/>
            <w:vAlign w:val="center"/>
            <w:hideMark/>
          </w:tcPr>
          <w:p w14:paraId="2D7D23E4" w14:textId="77777777" w:rsidR="00556496" w:rsidRPr="00B46038" w:rsidRDefault="00556496" w:rsidP="00DA0372">
            <w:pPr>
              <w:jc w:val="right"/>
              <w:rPr>
                <w:color w:val="000000"/>
                <w:sz w:val="16"/>
                <w:szCs w:val="16"/>
              </w:rPr>
            </w:pPr>
            <w:r w:rsidRPr="00B46038">
              <w:rPr>
                <w:color w:val="000000"/>
                <w:sz w:val="16"/>
                <w:szCs w:val="16"/>
              </w:rPr>
              <w:t>3,76</w:t>
            </w:r>
          </w:p>
        </w:tc>
        <w:tc>
          <w:tcPr>
            <w:tcW w:w="900" w:type="dxa"/>
            <w:tcBorders>
              <w:top w:val="nil"/>
              <w:left w:val="nil"/>
              <w:bottom w:val="single" w:sz="4" w:space="0" w:color="auto"/>
              <w:right w:val="single" w:sz="4" w:space="0" w:color="auto"/>
            </w:tcBorders>
            <w:shd w:val="clear" w:color="000000" w:fill="BFBFBF"/>
            <w:vAlign w:val="center"/>
            <w:hideMark/>
          </w:tcPr>
          <w:p w14:paraId="34D6BFDD" w14:textId="77777777" w:rsidR="00556496" w:rsidRPr="00B46038" w:rsidRDefault="00556496" w:rsidP="00DA0372">
            <w:pPr>
              <w:jc w:val="right"/>
              <w:rPr>
                <w:color w:val="000000"/>
                <w:sz w:val="16"/>
                <w:szCs w:val="16"/>
              </w:rPr>
            </w:pPr>
            <w:r w:rsidRPr="00B46038">
              <w:rPr>
                <w:color w:val="000000"/>
                <w:sz w:val="16"/>
                <w:szCs w:val="16"/>
              </w:rPr>
              <w:t>4,12</w:t>
            </w:r>
          </w:p>
        </w:tc>
        <w:tc>
          <w:tcPr>
            <w:tcW w:w="988" w:type="dxa"/>
            <w:tcBorders>
              <w:top w:val="nil"/>
              <w:left w:val="nil"/>
              <w:bottom w:val="single" w:sz="4" w:space="0" w:color="auto"/>
              <w:right w:val="single" w:sz="4" w:space="0" w:color="auto"/>
            </w:tcBorders>
            <w:shd w:val="clear" w:color="000000" w:fill="BFBFBF"/>
            <w:vAlign w:val="center"/>
            <w:hideMark/>
          </w:tcPr>
          <w:p w14:paraId="2D8B598D" w14:textId="77777777" w:rsidR="00556496" w:rsidRPr="00B46038" w:rsidRDefault="00556496" w:rsidP="00DA0372">
            <w:pPr>
              <w:jc w:val="right"/>
              <w:rPr>
                <w:color w:val="000000"/>
                <w:sz w:val="16"/>
                <w:szCs w:val="16"/>
              </w:rPr>
            </w:pPr>
            <w:r w:rsidRPr="00B46038">
              <w:rPr>
                <w:color w:val="000000"/>
                <w:sz w:val="16"/>
                <w:szCs w:val="16"/>
              </w:rPr>
              <w:t>4,38</w:t>
            </w:r>
          </w:p>
        </w:tc>
        <w:tc>
          <w:tcPr>
            <w:tcW w:w="1022" w:type="dxa"/>
            <w:tcBorders>
              <w:top w:val="nil"/>
              <w:left w:val="nil"/>
              <w:bottom w:val="single" w:sz="4" w:space="0" w:color="auto"/>
              <w:right w:val="single" w:sz="4" w:space="0" w:color="auto"/>
            </w:tcBorders>
            <w:shd w:val="clear" w:color="000000" w:fill="BFBFBF"/>
            <w:vAlign w:val="center"/>
            <w:hideMark/>
          </w:tcPr>
          <w:p w14:paraId="55F74F03" w14:textId="77777777" w:rsidR="00556496" w:rsidRPr="00B46038" w:rsidRDefault="00556496" w:rsidP="00DA0372">
            <w:pPr>
              <w:jc w:val="right"/>
              <w:rPr>
                <w:color w:val="000000"/>
                <w:sz w:val="16"/>
                <w:szCs w:val="16"/>
              </w:rPr>
            </w:pPr>
            <w:r w:rsidRPr="00B46038">
              <w:rPr>
                <w:color w:val="000000"/>
                <w:sz w:val="16"/>
                <w:szCs w:val="16"/>
              </w:rPr>
              <w:t>3,44</w:t>
            </w:r>
          </w:p>
        </w:tc>
        <w:tc>
          <w:tcPr>
            <w:tcW w:w="871" w:type="dxa"/>
            <w:tcBorders>
              <w:top w:val="nil"/>
              <w:left w:val="nil"/>
              <w:bottom w:val="single" w:sz="4" w:space="0" w:color="auto"/>
              <w:right w:val="single" w:sz="4" w:space="0" w:color="auto"/>
            </w:tcBorders>
            <w:shd w:val="clear" w:color="000000" w:fill="BFBFBF"/>
            <w:vAlign w:val="center"/>
            <w:hideMark/>
          </w:tcPr>
          <w:p w14:paraId="0B9F094C" w14:textId="77777777" w:rsidR="00556496" w:rsidRPr="00B46038" w:rsidRDefault="00556496" w:rsidP="00DA0372">
            <w:pPr>
              <w:jc w:val="right"/>
              <w:rPr>
                <w:color w:val="000000"/>
                <w:sz w:val="16"/>
                <w:szCs w:val="16"/>
              </w:rPr>
            </w:pPr>
            <w:r w:rsidRPr="00B46038">
              <w:rPr>
                <w:color w:val="000000"/>
                <w:sz w:val="16"/>
                <w:szCs w:val="16"/>
              </w:rPr>
              <w:t>3,8</w:t>
            </w:r>
          </w:p>
        </w:tc>
        <w:tc>
          <w:tcPr>
            <w:tcW w:w="871" w:type="dxa"/>
            <w:tcBorders>
              <w:top w:val="nil"/>
              <w:left w:val="nil"/>
              <w:bottom w:val="single" w:sz="4" w:space="0" w:color="auto"/>
              <w:right w:val="single" w:sz="8" w:space="0" w:color="auto"/>
            </w:tcBorders>
            <w:shd w:val="clear" w:color="000000" w:fill="BFBFBF"/>
            <w:vAlign w:val="center"/>
            <w:hideMark/>
          </w:tcPr>
          <w:p w14:paraId="6F346EF7" w14:textId="77777777" w:rsidR="00556496" w:rsidRPr="00B46038" w:rsidRDefault="00556496" w:rsidP="00DA0372">
            <w:pPr>
              <w:jc w:val="right"/>
              <w:rPr>
                <w:color w:val="000000"/>
                <w:sz w:val="16"/>
                <w:szCs w:val="16"/>
              </w:rPr>
            </w:pPr>
            <w:r w:rsidRPr="00B46038">
              <w:rPr>
                <w:color w:val="000000"/>
                <w:sz w:val="16"/>
                <w:szCs w:val="16"/>
              </w:rPr>
              <w:t>4,06</w:t>
            </w:r>
          </w:p>
        </w:tc>
      </w:tr>
      <w:tr w:rsidR="00556496" w14:paraId="6487707B" w14:textId="77777777" w:rsidTr="00DA0372">
        <w:trPr>
          <w:trHeight w:val="318"/>
        </w:trPr>
        <w:tc>
          <w:tcPr>
            <w:tcW w:w="1435" w:type="dxa"/>
            <w:vMerge/>
            <w:tcBorders>
              <w:top w:val="nil"/>
              <w:left w:val="single" w:sz="8" w:space="0" w:color="auto"/>
              <w:bottom w:val="single" w:sz="8" w:space="0" w:color="000000"/>
              <w:right w:val="nil"/>
            </w:tcBorders>
            <w:vAlign w:val="center"/>
            <w:hideMark/>
          </w:tcPr>
          <w:p w14:paraId="7DA75497" w14:textId="77777777" w:rsidR="00556496" w:rsidRPr="00B46038" w:rsidRDefault="00556496" w:rsidP="00DA0372">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17652B21" w14:textId="77777777" w:rsidR="00556496" w:rsidRPr="00B46038" w:rsidRDefault="00556496" w:rsidP="00DA0372">
            <w:pPr>
              <w:rPr>
                <w:color w:val="000000"/>
                <w:sz w:val="16"/>
                <w:szCs w:val="16"/>
              </w:rPr>
            </w:pPr>
            <w:r w:rsidRPr="00B46038">
              <w:rPr>
                <w:color w:val="000000"/>
                <w:sz w:val="16"/>
                <w:szCs w:val="16"/>
              </w:rPr>
              <w:t>GMSK 1-pulse (BT=0.35)</w:t>
            </w:r>
          </w:p>
        </w:tc>
        <w:tc>
          <w:tcPr>
            <w:tcW w:w="900" w:type="dxa"/>
            <w:tcBorders>
              <w:top w:val="nil"/>
              <w:left w:val="nil"/>
              <w:bottom w:val="single" w:sz="4" w:space="0" w:color="auto"/>
              <w:right w:val="single" w:sz="4" w:space="0" w:color="auto"/>
            </w:tcBorders>
            <w:shd w:val="clear" w:color="000000" w:fill="BFBFBF"/>
            <w:vAlign w:val="center"/>
            <w:hideMark/>
          </w:tcPr>
          <w:p w14:paraId="1F3457A6" w14:textId="77777777" w:rsidR="00556496" w:rsidRPr="00B46038" w:rsidRDefault="00556496" w:rsidP="00DA0372">
            <w:pPr>
              <w:jc w:val="right"/>
              <w:rPr>
                <w:color w:val="000000"/>
                <w:sz w:val="16"/>
                <w:szCs w:val="16"/>
              </w:rPr>
            </w:pPr>
            <w:r w:rsidRPr="00B46038">
              <w:rPr>
                <w:color w:val="000000"/>
                <w:sz w:val="16"/>
                <w:szCs w:val="16"/>
              </w:rPr>
              <w:t>-0,42</w:t>
            </w:r>
          </w:p>
        </w:tc>
        <w:tc>
          <w:tcPr>
            <w:tcW w:w="810" w:type="dxa"/>
            <w:tcBorders>
              <w:top w:val="nil"/>
              <w:left w:val="nil"/>
              <w:bottom w:val="single" w:sz="4" w:space="0" w:color="auto"/>
              <w:right w:val="single" w:sz="4" w:space="0" w:color="auto"/>
            </w:tcBorders>
            <w:shd w:val="clear" w:color="000000" w:fill="BFBFBF"/>
            <w:vAlign w:val="center"/>
            <w:hideMark/>
          </w:tcPr>
          <w:p w14:paraId="361339CC" w14:textId="77777777" w:rsidR="00556496" w:rsidRPr="00B46038" w:rsidRDefault="00556496" w:rsidP="00DA0372">
            <w:pPr>
              <w:jc w:val="right"/>
              <w:rPr>
                <w:color w:val="000000"/>
                <w:sz w:val="16"/>
                <w:szCs w:val="16"/>
              </w:rPr>
            </w:pPr>
            <w:r w:rsidRPr="00B46038">
              <w:rPr>
                <w:color w:val="000000"/>
                <w:sz w:val="16"/>
                <w:szCs w:val="16"/>
              </w:rPr>
              <w:t>4,26</w:t>
            </w:r>
          </w:p>
        </w:tc>
        <w:tc>
          <w:tcPr>
            <w:tcW w:w="900" w:type="dxa"/>
            <w:tcBorders>
              <w:top w:val="nil"/>
              <w:left w:val="nil"/>
              <w:bottom w:val="single" w:sz="4" w:space="0" w:color="auto"/>
              <w:right w:val="single" w:sz="4" w:space="0" w:color="auto"/>
            </w:tcBorders>
            <w:shd w:val="clear" w:color="000000" w:fill="BFBFBF"/>
            <w:vAlign w:val="center"/>
            <w:hideMark/>
          </w:tcPr>
          <w:p w14:paraId="1A9D0D52" w14:textId="77777777" w:rsidR="00556496" w:rsidRPr="00B46038" w:rsidRDefault="00556496" w:rsidP="00DA0372">
            <w:pPr>
              <w:jc w:val="right"/>
              <w:rPr>
                <w:color w:val="000000"/>
                <w:sz w:val="16"/>
                <w:szCs w:val="16"/>
              </w:rPr>
            </w:pPr>
            <w:r w:rsidRPr="00B46038">
              <w:rPr>
                <w:color w:val="000000"/>
                <w:sz w:val="16"/>
                <w:szCs w:val="16"/>
              </w:rPr>
              <w:t>4,75</w:t>
            </w:r>
          </w:p>
        </w:tc>
        <w:tc>
          <w:tcPr>
            <w:tcW w:w="988" w:type="dxa"/>
            <w:tcBorders>
              <w:top w:val="nil"/>
              <w:left w:val="nil"/>
              <w:bottom w:val="single" w:sz="4" w:space="0" w:color="auto"/>
              <w:right w:val="single" w:sz="4" w:space="0" w:color="auto"/>
            </w:tcBorders>
            <w:shd w:val="clear" w:color="000000" w:fill="BFBFBF"/>
            <w:vAlign w:val="center"/>
            <w:hideMark/>
          </w:tcPr>
          <w:p w14:paraId="1614BDD6" w14:textId="77777777" w:rsidR="00556496" w:rsidRPr="00B46038" w:rsidRDefault="00556496" w:rsidP="00DA0372">
            <w:pPr>
              <w:jc w:val="right"/>
              <w:rPr>
                <w:color w:val="000000"/>
                <w:sz w:val="16"/>
                <w:szCs w:val="16"/>
              </w:rPr>
            </w:pPr>
            <w:r w:rsidRPr="00B46038">
              <w:rPr>
                <w:color w:val="000000"/>
                <w:sz w:val="16"/>
                <w:szCs w:val="16"/>
              </w:rPr>
              <w:t>5,12</w:t>
            </w:r>
          </w:p>
        </w:tc>
        <w:tc>
          <w:tcPr>
            <w:tcW w:w="1022" w:type="dxa"/>
            <w:tcBorders>
              <w:top w:val="nil"/>
              <w:left w:val="nil"/>
              <w:bottom w:val="single" w:sz="4" w:space="0" w:color="auto"/>
              <w:right w:val="single" w:sz="4" w:space="0" w:color="auto"/>
            </w:tcBorders>
            <w:shd w:val="clear" w:color="000000" w:fill="BFBFBF"/>
            <w:vAlign w:val="center"/>
            <w:hideMark/>
          </w:tcPr>
          <w:p w14:paraId="34C37350" w14:textId="77777777" w:rsidR="00556496" w:rsidRPr="00B46038" w:rsidRDefault="00556496" w:rsidP="00DA0372">
            <w:pPr>
              <w:jc w:val="right"/>
              <w:rPr>
                <w:color w:val="000000"/>
                <w:sz w:val="16"/>
                <w:szCs w:val="16"/>
              </w:rPr>
            </w:pPr>
            <w:r w:rsidRPr="00B46038">
              <w:rPr>
                <w:color w:val="000000"/>
                <w:sz w:val="16"/>
                <w:szCs w:val="16"/>
              </w:rPr>
              <w:t>3,84</w:t>
            </w:r>
          </w:p>
        </w:tc>
        <w:tc>
          <w:tcPr>
            <w:tcW w:w="871" w:type="dxa"/>
            <w:tcBorders>
              <w:top w:val="nil"/>
              <w:left w:val="nil"/>
              <w:bottom w:val="single" w:sz="4" w:space="0" w:color="auto"/>
              <w:right w:val="single" w:sz="4" w:space="0" w:color="auto"/>
            </w:tcBorders>
            <w:shd w:val="clear" w:color="000000" w:fill="BFBFBF"/>
            <w:vAlign w:val="center"/>
            <w:hideMark/>
          </w:tcPr>
          <w:p w14:paraId="492BA339" w14:textId="77777777" w:rsidR="00556496" w:rsidRPr="00B46038" w:rsidRDefault="00556496" w:rsidP="00DA0372">
            <w:pPr>
              <w:jc w:val="right"/>
              <w:rPr>
                <w:color w:val="000000"/>
                <w:sz w:val="16"/>
                <w:szCs w:val="16"/>
              </w:rPr>
            </w:pPr>
            <w:r w:rsidRPr="00B46038">
              <w:rPr>
                <w:color w:val="000000"/>
                <w:sz w:val="16"/>
                <w:szCs w:val="16"/>
              </w:rPr>
              <w:t>4,33</w:t>
            </w:r>
          </w:p>
        </w:tc>
        <w:tc>
          <w:tcPr>
            <w:tcW w:w="871" w:type="dxa"/>
            <w:tcBorders>
              <w:top w:val="nil"/>
              <w:left w:val="nil"/>
              <w:bottom w:val="single" w:sz="4" w:space="0" w:color="auto"/>
              <w:right w:val="single" w:sz="8" w:space="0" w:color="auto"/>
            </w:tcBorders>
            <w:shd w:val="clear" w:color="000000" w:fill="BFBFBF"/>
            <w:vAlign w:val="center"/>
            <w:hideMark/>
          </w:tcPr>
          <w:p w14:paraId="2A218F69" w14:textId="77777777" w:rsidR="00556496" w:rsidRPr="00B46038" w:rsidRDefault="00556496" w:rsidP="00DA0372">
            <w:pPr>
              <w:jc w:val="right"/>
              <w:rPr>
                <w:color w:val="000000"/>
                <w:sz w:val="16"/>
                <w:szCs w:val="16"/>
              </w:rPr>
            </w:pPr>
            <w:r w:rsidRPr="00B46038">
              <w:rPr>
                <w:color w:val="000000"/>
                <w:sz w:val="16"/>
                <w:szCs w:val="16"/>
              </w:rPr>
              <w:t>4,7</w:t>
            </w:r>
          </w:p>
        </w:tc>
      </w:tr>
      <w:tr w:rsidR="00556496" w14:paraId="17B04943" w14:textId="77777777" w:rsidTr="00DA0372">
        <w:trPr>
          <w:trHeight w:val="318"/>
        </w:trPr>
        <w:tc>
          <w:tcPr>
            <w:tcW w:w="1435" w:type="dxa"/>
            <w:vMerge/>
            <w:tcBorders>
              <w:top w:val="nil"/>
              <w:left w:val="single" w:sz="8" w:space="0" w:color="auto"/>
              <w:bottom w:val="single" w:sz="8" w:space="0" w:color="000000"/>
              <w:right w:val="nil"/>
            </w:tcBorders>
            <w:vAlign w:val="center"/>
            <w:hideMark/>
          </w:tcPr>
          <w:p w14:paraId="3AF30782" w14:textId="77777777" w:rsidR="00556496" w:rsidRPr="00B46038" w:rsidRDefault="00556496" w:rsidP="00DA0372">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1873E47D" w14:textId="77777777" w:rsidR="00556496" w:rsidRPr="00B46038" w:rsidRDefault="00556496" w:rsidP="00DA0372">
            <w:pPr>
              <w:rPr>
                <w:color w:val="000000"/>
                <w:sz w:val="16"/>
                <w:szCs w:val="16"/>
              </w:rPr>
            </w:pPr>
            <w:r w:rsidRPr="00B46038">
              <w:rPr>
                <w:color w:val="000000"/>
                <w:sz w:val="16"/>
                <w:szCs w:val="16"/>
              </w:rPr>
              <w:t>GMSK 1-pulse (BT=0.25)</w:t>
            </w:r>
          </w:p>
        </w:tc>
        <w:tc>
          <w:tcPr>
            <w:tcW w:w="900" w:type="dxa"/>
            <w:tcBorders>
              <w:top w:val="nil"/>
              <w:left w:val="nil"/>
              <w:bottom w:val="single" w:sz="4" w:space="0" w:color="auto"/>
              <w:right w:val="single" w:sz="4" w:space="0" w:color="auto"/>
            </w:tcBorders>
            <w:shd w:val="clear" w:color="000000" w:fill="BFBFBF"/>
            <w:vAlign w:val="center"/>
            <w:hideMark/>
          </w:tcPr>
          <w:p w14:paraId="31115638" w14:textId="77777777" w:rsidR="00556496" w:rsidRPr="00B46038" w:rsidRDefault="00556496" w:rsidP="00DA0372">
            <w:pPr>
              <w:jc w:val="right"/>
              <w:rPr>
                <w:color w:val="000000"/>
                <w:sz w:val="16"/>
                <w:szCs w:val="16"/>
              </w:rPr>
            </w:pPr>
            <w:r w:rsidRPr="00B46038">
              <w:rPr>
                <w:color w:val="000000"/>
                <w:sz w:val="16"/>
                <w:szCs w:val="16"/>
              </w:rPr>
              <w:t>-0,51</w:t>
            </w:r>
          </w:p>
        </w:tc>
        <w:tc>
          <w:tcPr>
            <w:tcW w:w="810" w:type="dxa"/>
            <w:tcBorders>
              <w:top w:val="nil"/>
              <w:left w:val="nil"/>
              <w:bottom w:val="single" w:sz="4" w:space="0" w:color="auto"/>
              <w:right w:val="single" w:sz="4" w:space="0" w:color="auto"/>
            </w:tcBorders>
            <w:shd w:val="clear" w:color="000000" w:fill="BFBFBF"/>
            <w:vAlign w:val="center"/>
            <w:hideMark/>
          </w:tcPr>
          <w:p w14:paraId="01256EC6" w14:textId="77777777" w:rsidR="00556496" w:rsidRPr="00B46038" w:rsidRDefault="00556496" w:rsidP="00DA0372">
            <w:pPr>
              <w:jc w:val="right"/>
              <w:rPr>
                <w:color w:val="000000"/>
                <w:sz w:val="16"/>
                <w:szCs w:val="16"/>
              </w:rPr>
            </w:pPr>
            <w:r w:rsidRPr="00B46038">
              <w:rPr>
                <w:color w:val="000000"/>
                <w:sz w:val="16"/>
                <w:szCs w:val="16"/>
              </w:rPr>
              <w:t>4,51</w:t>
            </w:r>
          </w:p>
        </w:tc>
        <w:tc>
          <w:tcPr>
            <w:tcW w:w="900" w:type="dxa"/>
            <w:tcBorders>
              <w:top w:val="nil"/>
              <w:left w:val="nil"/>
              <w:bottom w:val="single" w:sz="4" w:space="0" w:color="auto"/>
              <w:right w:val="single" w:sz="4" w:space="0" w:color="auto"/>
            </w:tcBorders>
            <w:shd w:val="clear" w:color="000000" w:fill="BFBFBF"/>
            <w:vAlign w:val="center"/>
            <w:hideMark/>
          </w:tcPr>
          <w:p w14:paraId="14175FE6" w14:textId="77777777" w:rsidR="00556496" w:rsidRPr="00B46038" w:rsidRDefault="00556496" w:rsidP="00DA0372">
            <w:pPr>
              <w:jc w:val="right"/>
              <w:rPr>
                <w:color w:val="000000"/>
                <w:sz w:val="16"/>
                <w:szCs w:val="16"/>
              </w:rPr>
            </w:pPr>
            <w:r w:rsidRPr="00B46038">
              <w:rPr>
                <w:color w:val="000000"/>
                <w:sz w:val="16"/>
                <w:szCs w:val="16"/>
              </w:rPr>
              <w:t>4,93</w:t>
            </w:r>
          </w:p>
        </w:tc>
        <w:tc>
          <w:tcPr>
            <w:tcW w:w="988" w:type="dxa"/>
            <w:tcBorders>
              <w:top w:val="nil"/>
              <w:left w:val="nil"/>
              <w:bottom w:val="single" w:sz="4" w:space="0" w:color="auto"/>
              <w:right w:val="single" w:sz="4" w:space="0" w:color="auto"/>
            </w:tcBorders>
            <w:shd w:val="clear" w:color="000000" w:fill="BFBFBF"/>
            <w:vAlign w:val="center"/>
            <w:hideMark/>
          </w:tcPr>
          <w:p w14:paraId="5FC6B659" w14:textId="77777777" w:rsidR="00556496" w:rsidRPr="00B46038" w:rsidRDefault="00556496" w:rsidP="00DA0372">
            <w:pPr>
              <w:jc w:val="right"/>
              <w:rPr>
                <w:color w:val="000000"/>
                <w:sz w:val="16"/>
                <w:szCs w:val="16"/>
              </w:rPr>
            </w:pPr>
            <w:r w:rsidRPr="00B46038">
              <w:rPr>
                <w:color w:val="000000"/>
                <w:sz w:val="16"/>
                <w:szCs w:val="16"/>
              </w:rPr>
              <w:t>6,1</w:t>
            </w:r>
          </w:p>
        </w:tc>
        <w:tc>
          <w:tcPr>
            <w:tcW w:w="1022" w:type="dxa"/>
            <w:tcBorders>
              <w:top w:val="nil"/>
              <w:left w:val="nil"/>
              <w:bottom w:val="single" w:sz="4" w:space="0" w:color="auto"/>
              <w:right w:val="single" w:sz="4" w:space="0" w:color="auto"/>
            </w:tcBorders>
            <w:shd w:val="clear" w:color="000000" w:fill="BFBFBF"/>
            <w:vAlign w:val="center"/>
            <w:hideMark/>
          </w:tcPr>
          <w:p w14:paraId="654E57B9" w14:textId="77777777" w:rsidR="00556496" w:rsidRPr="00B46038" w:rsidRDefault="00556496" w:rsidP="00DA0372">
            <w:pPr>
              <w:jc w:val="right"/>
              <w:rPr>
                <w:color w:val="000000"/>
                <w:sz w:val="16"/>
                <w:szCs w:val="16"/>
              </w:rPr>
            </w:pPr>
            <w:r w:rsidRPr="00B46038">
              <w:rPr>
                <w:color w:val="000000"/>
                <w:sz w:val="16"/>
                <w:szCs w:val="16"/>
              </w:rPr>
              <w:t>4</w:t>
            </w:r>
          </w:p>
        </w:tc>
        <w:tc>
          <w:tcPr>
            <w:tcW w:w="871" w:type="dxa"/>
            <w:tcBorders>
              <w:top w:val="nil"/>
              <w:left w:val="nil"/>
              <w:bottom w:val="single" w:sz="4" w:space="0" w:color="auto"/>
              <w:right w:val="single" w:sz="4" w:space="0" w:color="auto"/>
            </w:tcBorders>
            <w:shd w:val="clear" w:color="000000" w:fill="BFBFBF"/>
            <w:vAlign w:val="center"/>
            <w:hideMark/>
          </w:tcPr>
          <w:p w14:paraId="09883F35" w14:textId="77777777" w:rsidR="00556496" w:rsidRPr="00B46038" w:rsidRDefault="00556496" w:rsidP="00DA0372">
            <w:pPr>
              <w:jc w:val="right"/>
              <w:rPr>
                <w:color w:val="000000"/>
                <w:sz w:val="16"/>
                <w:szCs w:val="16"/>
              </w:rPr>
            </w:pPr>
            <w:r w:rsidRPr="00B46038">
              <w:rPr>
                <w:color w:val="000000"/>
                <w:sz w:val="16"/>
                <w:szCs w:val="16"/>
              </w:rPr>
              <w:t>4,42</w:t>
            </w:r>
          </w:p>
        </w:tc>
        <w:tc>
          <w:tcPr>
            <w:tcW w:w="871" w:type="dxa"/>
            <w:tcBorders>
              <w:top w:val="nil"/>
              <w:left w:val="nil"/>
              <w:bottom w:val="single" w:sz="4" w:space="0" w:color="auto"/>
              <w:right w:val="single" w:sz="8" w:space="0" w:color="auto"/>
            </w:tcBorders>
            <w:shd w:val="clear" w:color="000000" w:fill="BFBFBF"/>
            <w:vAlign w:val="center"/>
            <w:hideMark/>
          </w:tcPr>
          <w:p w14:paraId="4AED966A" w14:textId="77777777" w:rsidR="00556496" w:rsidRPr="00B46038" w:rsidRDefault="00556496" w:rsidP="00DA0372">
            <w:pPr>
              <w:jc w:val="right"/>
              <w:rPr>
                <w:color w:val="000000"/>
                <w:sz w:val="16"/>
                <w:szCs w:val="16"/>
              </w:rPr>
            </w:pPr>
            <w:r w:rsidRPr="00B46038">
              <w:rPr>
                <w:color w:val="000000"/>
                <w:sz w:val="16"/>
                <w:szCs w:val="16"/>
              </w:rPr>
              <w:t>5,59</w:t>
            </w:r>
          </w:p>
        </w:tc>
      </w:tr>
      <w:tr w:rsidR="00556496" w14:paraId="180FE491" w14:textId="77777777" w:rsidTr="00DA0372">
        <w:trPr>
          <w:trHeight w:val="318"/>
        </w:trPr>
        <w:tc>
          <w:tcPr>
            <w:tcW w:w="1435" w:type="dxa"/>
            <w:vMerge/>
            <w:tcBorders>
              <w:top w:val="nil"/>
              <w:left w:val="single" w:sz="8" w:space="0" w:color="auto"/>
              <w:bottom w:val="single" w:sz="8" w:space="0" w:color="000000"/>
              <w:right w:val="nil"/>
            </w:tcBorders>
            <w:vAlign w:val="center"/>
            <w:hideMark/>
          </w:tcPr>
          <w:p w14:paraId="60F74044" w14:textId="77777777" w:rsidR="00556496" w:rsidRPr="00B46038" w:rsidRDefault="00556496" w:rsidP="00DA0372">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08696200" w14:textId="77777777" w:rsidR="00556496" w:rsidRPr="00B46038" w:rsidRDefault="00556496" w:rsidP="00DA0372">
            <w:pPr>
              <w:rPr>
                <w:color w:val="000000"/>
                <w:sz w:val="16"/>
                <w:szCs w:val="16"/>
              </w:rPr>
            </w:pPr>
            <w:r w:rsidRPr="00B46038">
              <w:rPr>
                <w:color w:val="000000"/>
                <w:sz w:val="16"/>
                <w:szCs w:val="16"/>
              </w:rPr>
              <w:t>GMSK 2-pulse (BT=0.25)</w:t>
            </w:r>
          </w:p>
        </w:tc>
        <w:tc>
          <w:tcPr>
            <w:tcW w:w="900" w:type="dxa"/>
            <w:tcBorders>
              <w:top w:val="nil"/>
              <w:left w:val="nil"/>
              <w:bottom w:val="single" w:sz="4" w:space="0" w:color="auto"/>
              <w:right w:val="single" w:sz="4" w:space="0" w:color="auto"/>
            </w:tcBorders>
            <w:shd w:val="clear" w:color="000000" w:fill="BFBFBF"/>
            <w:vAlign w:val="center"/>
            <w:hideMark/>
          </w:tcPr>
          <w:p w14:paraId="4DE13FB0" w14:textId="77777777" w:rsidR="00556496" w:rsidRPr="00B46038" w:rsidRDefault="00556496" w:rsidP="00DA0372">
            <w:pPr>
              <w:jc w:val="right"/>
              <w:rPr>
                <w:color w:val="000000"/>
                <w:sz w:val="16"/>
                <w:szCs w:val="16"/>
              </w:rPr>
            </w:pPr>
            <w:r w:rsidRPr="00B46038">
              <w:rPr>
                <w:color w:val="000000"/>
                <w:sz w:val="16"/>
                <w:szCs w:val="16"/>
              </w:rPr>
              <w:t>-0,61</w:t>
            </w:r>
          </w:p>
        </w:tc>
        <w:tc>
          <w:tcPr>
            <w:tcW w:w="810" w:type="dxa"/>
            <w:tcBorders>
              <w:top w:val="nil"/>
              <w:left w:val="nil"/>
              <w:bottom w:val="single" w:sz="4" w:space="0" w:color="auto"/>
              <w:right w:val="single" w:sz="4" w:space="0" w:color="auto"/>
            </w:tcBorders>
            <w:shd w:val="clear" w:color="000000" w:fill="BFBFBF"/>
            <w:vAlign w:val="center"/>
            <w:hideMark/>
          </w:tcPr>
          <w:p w14:paraId="55552ACA" w14:textId="77777777" w:rsidR="00556496" w:rsidRPr="00B46038" w:rsidRDefault="00556496" w:rsidP="00DA0372">
            <w:pPr>
              <w:jc w:val="right"/>
              <w:rPr>
                <w:color w:val="000000"/>
                <w:sz w:val="16"/>
                <w:szCs w:val="16"/>
              </w:rPr>
            </w:pPr>
            <w:r w:rsidRPr="00B46038">
              <w:rPr>
                <w:color w:val="000000"/>
                <w:sz w:val="16"/>
                <w:szCs w:val="16"/>
              </w:rPr>
              <w:t>4,89</w:t>
            </w:r>
          </w:p>
        </w:tc>
        <w:tc>
          <w:tcPr>
            <w:tcW w:w="900" w:type="dxa"/>
            <w:tcBorders>
              <w:top w:val="nil"/>
              <w:left w:val="nil"/>
              <w:bottom w:val="single" w:sz="4" w:space="0" w:color="auto"/>
              <w:right w:val="single" w:sz="4" w:space="0" w:color="auto"/>
            </w:tcBorders>
            <w:shd w:val="clear" w:color="000000" w:fill="BFBFBF"/>
            <w:vAlign w:val="center"/>
            <w:hideMark/>
          </w:tcPr>
          <w:p w14:paraId="3F5757C8" w14:textId="77777777" w:rsidR="00556496" w:rsidRPr="00B46038" w:rsidRDefault="00556496" w:rsidP="00DA0372">
            <w:pPr>
              <w:jc w:val="right"/>
              <w:rPr>
                <w:color w:val="000000"/>
                <w:sz w:val="16"/>
                <w:szCs w:val="16"/>
              </w:rPr>
            </w:pPr>
            <w:r w:rsidRPr="00B46038">
              <w:rPr>
                <w:color w:val="000000"/>
                <w:sz w:val="16"/>
                <w:szCs w:val="16"/>
              </w:rPr>
              <w:t>5,1</w:t>
            </w:r>
          </w:p>
        </w:tc>
        <w:tc>
          <w:tcPr>
            <w:tcW w:w="988" w:type="dxa"/>
            <w:tcBorders>
              <w:top w:val="nil"/>
              <w:left w:val="nil"/>
              <w:bottom w:val="single" w:sz="4" w:space="0" w:color="auto"/>
              <w:right w:val="single" w:sz="4" w:space="0" w:color="auto"/>
            </w:tcBorders>
            <w:shd w:val="clear" w:color="000000" w:fill="BFBFBF"/>
            <w:vAlign w:val="center"/>
            <w:hideMark/>
          </w:tcPr>
          <w:p w14:paraId="14CF69AD" w14:textId="77777777" w:rsidR="00556496" w:rsidRPr="00B46038" w:rsidRDefault="00556496" w:rsidP="00DA0372">
            <w:pPr>
              <w:jc w:val="right"/>
              <w:rPr>
                <w:color w:val="000000"/>
                <w:sz w:val="16"/>
                <w:szCs w:val="16"/>
              </w:rPr>
            </w:pPr>
            <w:r w:rsidRPr="00B46038">
              <w:rPr>
                <w:color w:val="000000"/>
                <w:sz w:val="16"/>
                <w:szCs w:val="16"/>
              </w:rPr>
              <w:t>7,81</w:t>
            </w:r>
          </w:p>
        </w:tc>
        <w:tc>
          <w:tcPr>
            <w:tcW w:w="1022" w:type="dxa"/>
            <w:tcBorders>
              <w:top w:val="nil"/>
              <w:left w:val="nil"/>
              <w:bottom w:val="single" w:sz="4" w:space="0" w:color="auto"/>
              <w:right w:val="single" w:sz="4" w:space="0" w:color="auto"/>
            </w:tcBorders>
            <w:shd w:val="clear" w:color="000000" w:fill="BFBFBF"/>
            <w:vAlign w:val="center"/>
            <w:hideMark/>
          </w:tcPr>
          <w:p w14:paraId="7415D967" w14:textId="77777777" w:rsidR="00556496" w:rsidRPr="00B46038" w:rsidRDefault="00556496" w:rsidP="00DA0372">
            <w:pPr>
              <w:jc w:val="right"/>
              <w:rPr>
                <w:color w:val="000000"/>
                <w:sz w:val="16"/>
                <w:szCs w:val="16"/>
              </w:rPr>
            </w:pPr>
            <w:r w:rsidRPr="00B46038">
              <w:rPr>
                <w:color w:val="000000"/>
                <w:sz w:val="16"/>
                <w:szCs w:val="16"/>
              </w:rPr>
              <w:t>4,28</w:t>
            </w:r>
          </w:p>
        </w:tc>
        <w:tc>
          <w:tcPr>
            <w:tcW w:w="871" w:type="dxa"/>
            <w:tcBorders>
              <w:top w:val="nil"/>
              <w:left w:val="nil"/>
              <w:bottom w:val="single" w:sz="4" w:space="0" w:color="auto"/>
              <w:right w:val="single" w:sz="4" w:space="0" w:color="auto"/>
            </w:tcBorders>
            <w:shd w:val="clear" w:color="000000" w:fill="BFBFBF"/>
            <w:vAlign w:val="center"/>
            <w:hideMark/>
          </w:tcPr>
          <w:p w14:paraId="0542302B" w14:textId="77777777" w:rsidR="00556496" w:rsidRPr="00B46038" w:rsidRDefault="00556496" w:rsidP="00DA0372">
            <w:pPr>
              <w:jc w:val="right"/>
              <w:rPr>
                <w:b/>
                <w:bCs/>
                <w:color w:val="000000"/>
                <w:sz w:val="16"/>
                <w:szCs w:val="16"/>
              </w:rPr>
            </w:pPr>
            <w:r w:rsidRPr="00B46038">
              <w:rPr>
                <w:b/>
                <w:bCs/>
                <w:color w:val="000000"/>
                <w:sz w:val="16"/>
                <w:szCs w:val="16"/>
              </w:rPr>
              <w:t>4,49</w:t>
            </w:r>
          </w:p>
        </w:tc>
        <w:tc>
          <w:tcPr>
            <w:tcW w:w="871" w:type="dxa"/>
            <w:tcBorders>
              <w:top w:val="nil"/>
              <w:left w:val="nil"/>
              <w:bottom w:val="single" w:sz="4" w:space="0" w:color="auto"/>
              <w:right w:val="single" w:sz="8" w:space="0" w:color="auto"/>
            </w:tcBorders>
            <w:shd w:val="clear" w:color="000000" w:fill="BFBFBF"/>
            <w:vAlign w:val="center"/>
            <w:hideMark/>
          </w:tcPr>
          <w:p w14:paraId="573E9CBD" w14:textId="77777777" w:rsidR="00556496" w:rsidRPr="00B46038" w:rsidRDefault="00556496" w:rsidP="00DA0372">
            <w:pPr>
              <w:jc w:val="right"/>
              <w:rPr>
                <w:color w:val="000000"/>
                <w:sz w:val="16"/>
                <w:szCs w:val="16"/>
              </w:rPr>
            </w:pPr>
            <w:r w:rsidRPr="00B46038">
              <w:rPr>
                <w:color w:val="000000"/>
                <w:sz w:val="16"/>
                <w:szCs w:val="16"/>
              </w:rPr>
              <w:t>7,2</w:t>
            </w:r>
          </w:p>
        </w:tc>
      </w:tr>
      <w:tr w:rsidR="00556496" w14:paraId="78EF9152" w14:textId="77777777" w:rsidTr="00DA0372">
        <w:trPr>
          <w:trHeight w:val="318"/>
        </w:trPr>
        <w:tc>
          <w:tcPr>
            <w:tcW w:w="1435" w:type="dxa"/>
            <w:vMerge/>
            <w:tcBorders>
              <w:top w:val="nil"/>
              <w:left w:val="single" w:sz="8" w:space="0" w:color="auto"/>
              <w:bottom w:val="single" w:sz="8" w:space="0" w:color="000000"/>
              <w:right w:val="nil"/>
            </w:tcBorders>
            <w:vAlign w:val="center"/>
            <w:hideMark/>
          </w:tcPr>
          <w:p w14:paraId="34C0435A" w14:textId="77777777" w:rsidR="00556496" w:rsidRPr="00B46038" w:rsidRDefault="00556496" w:rsidP="00DA0372">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4EE4A1C5" w14:textId="77777777" w:rsidR="00556496" w:rsidRPr="00B46038" w:rsidRDefault="00556496" w:rsidP="00DA0372">
            <w:pPr>
              <w:rPr>
                <w:color w:val="000000"/>
                <w:sz w:val="16"/>
                <w:szCs w:val="16"/>
              </w:rPr>
            </w:pPr>
            <w:r w:rsidRPr="00B46038">
              <w:rPr>
                <w:color w:val="000000"/>
                <w:sz w:val="16"/>
                <w:szCs w:val="16"/>
              </w:rPr>
              <w:t>GMSK 1-pulse (BT=0.18)</w:t>
            </w:r>
          </w:p>
        </w:tc>
        <w:tc>
          <w:tcPr>
            <w:tcW w:w="900" w:type="dxa"/>
            <w:tcBorders>
              <w:top w:val="nil"/>
              <w:left w:val="nil"/>
              <w:bottom w:val="single" w:sz="4" w:space="0" w:color="auto"/>
              <w:right w:val="single" w:sz="4" w:space="0" w:color="auto"/>
            </w:tcBorders>
            <w:shd w:val="clear" w:color="000000" w:fill="BFBFBF"/>
            <w:vAlign w:val="center"/>
            <w:hideMark/>
          </w:tcPr>
          <w:p w14:paraId="341EE6BF" w14:textId="77777777" w:rsidR="00556496" w:rsidRPr="00B46038" w:rsidRDefault="00556496" w:rsidP="00DA0372">
            <w:pPr>
              <w:jc w:val="right"/>
              <w:rPr>
                <w:color w:val="000000"/>
                <w:sz w:val="16"/>
                <w:szCs w:val="16"/>
              </w:rPr>
            </w:pPr>
            <w:r w:rsidRPr="00B46038">
              <w:rPr>
                <w:color w:val="000000"/>
                <w:sz w:val="16"/>
                <w:szCs w:val="16"/>
              </w:rPr>
              <w:t>-0,58</w:t>
            </w:r>
          </w:p>
        </w:tc>
        <w:tc>
          <w:tcPr>
            <w:tcW w:w="810" w:type="dxa"/>
            <w:tcBorders>
              <w:top w:val="nil"/>
              <w:left w:val="nil"/>
              <w:bottom w:val="single" w:sz="4" w:space="0" w:color="auto"/>
              <w:right w:val="single" w:sz="4" w:space="0" w:color="auto"/>
            </w:tcBorders>
            <w:shd w:val="clear" w:color="000000" w:fill="BFBFBF"/>
            <w:vAlign w:val="center"/>
            <w:hideMark/>
          </w:tcPr>
          <w:p w14:paraId="2087019C" w14:textId="77777777" w:rsidR="00556496" w:rsidRPr="00B46038" w:rsidRDefault="00556496" w:rsidP="00DA0372">
            <w:pPr>
              <w:jc w:val="right"/>
              <w:rPr>
                <w:color w:val="000000"/>
                <w:sz w:val="16"/>
                <w:szCs w:val="16"/>
              </w:rPr>
            </w:pPr>
            <w:r w:rsidRPr="00B46038">
              <w:rPr>
                <w:color w:val="000000"/>
                <w:sz w:val="16"/>
                <w:szCs w:val="16"/>
              </w:rPr>
              <w:t>4,27</w:t>
            </w:r>
          </w:p>
        </w:tc>
        <w:tc>
          <w:tcPr>
            <w:tcW w:w="900" w:type="dxa"/>
            <w:tcBorders>
              <w:top w:val="nil"/>
              <w:left w:val="nil"/>
              <w:bottom w:val="single" w:sz="4" w:space="0" w:color="auto"/>
              <w:right w:val="single" w:sz="4" w:space="0" w:color="auto"/>
            </w:tcBorders>
            <w:shd w:val="clear" w:color="000000" w:fill="BFBFBF"/>
            <w:vAlign w:val="center"/>
            <w:hideMark/>
          </w:tcPr>
          <w:p w14:paraId="76557770" w14:textId="77777777" w:rsidR="00556496" w:rsidRPr="00B46038" w:rsidRDefault="00556496" w:rsidP="00DA0372">
            <w:pPr>
              <w:jc w:val="right"/>
              <w:rPr>
                <w:color w:val="000000"/>
                <w:sz w:val="16"/>
                <w:szCs w:val="16"/>
              </w:rPr>
            </w:pPr>
            <w:r w:rsidRPr="00B46038">
              <w:rPr>
                <w:color w:val="000000"/>
                <w:sz w:val="16"/>
                <w:szCs w:val="16"/>
              </w:rPr>
              <w:t>4,95</w:t>
            </w:r>
          </w:p>
        </w:tc>
        <w:tc>
          <w:tcPr>
            <w:tcW w:w="988" w:type="dxa"/>
            <w:tcBorders>
              <w:top w:val="nil"/>
              <w:left w:val="nil"/>
              <w:bottom w:val="single" w:sz="4" w:space="0" w:color="auto"/>
              <w:right w:val="single" w:sz="4" w:space="0" w:color="auto"/>
            </w:tcBorders>
            <w:shd w:val="clear" w:color="000000" w:fill="BFBFBF"/>
            <w:vAlign w:val="center"/>
            <w:hideMark/>
          </w:tcPr>
          <w:p w14:paraId="47D4059D" w14:textId="77777777" w:rsidR="00556496" w:rsidRPr="00B46038" w:rsidRDefault="00556496" w:rsidP="00DA0372">
            <w:pPr>
              <w:jc w:val="right"/>
              <w:rPr>
                <w:color w:val="000000"/>
                <w:sz w:val="16"/>
                <w:szCs w:val="16"/>
              </w:rPr>
            </w:pPr>
            <w:r w:rsidRPr="00B46038">
              <w:rPr>
                <w:color w:val="000000"/>
                <w:sz w:val="16"/>
                <w:szCs w:val="16"/>
              </w:rPr>
              <w:t>7,15</w:t>
            </w:r>
          </w:p>
        </w:tc>
        <w:tc>
          <w:tcPr>
            <w:tcW w:w="1022" w:type="dxa"/>
            <w:tcBorders>
              <w:top w:val="nil"/>
              <w:left w:val="nil"/>
              <w:bottom w:val="single" w:sz="4" w:space="0" w:color="auto"/>
              <w:right w:val="single" w:sz="4" w:space="0" w:color="auto"/>
            </w:tcBorders>
            <w:shd w:val="clear" w:color="000000" w:fill="BFBFBF"/>
            <w:vAlign w:val="center"/>
            <w:hideMark/>
          </w:tcPr>
          <w:p w14:paraId="2BE83087" w14:textId="77777777" w:rsidR="00556496" w:rsidRPr="00B46038" w:rsidRDefault="00556496" w:rsidP="00DA0372">
            <w:pPr>
              <w:jc w:val="right"/>
              <w:rPr>
                <w:color w:val="000000"/>
                <w:sz w:val="16"/>
                <w:szCs w:val="16"/>
              </w:rPr>
            </w:pPr>
            <w:r w:rsidRPr="00B46038">
              <w:rPr>
                <w:color w:val="000000"/>
                <w:sz w:val="16"/>
                <w:szCs w:val="16"/>
              </w:rPr>
              <w:t>3,69</w:t>
            </w:r>
          </w:p>
        </w:tc>
        <w:tc>
          <w:tcPr>
            <w:tcW w:w="871" w:type="dxa"/>
            <w:tcBorders>
              <w:top w:val="nil"/>
              <w:left w:val="nil"/>
              <w:bottom w:val="single" w:sz="4" w:space="0" w:color="auto"/>
              <w:right w:val="single" w:sz="4" w:space="0" w:color="auto"/>
            </w:tcBorders>
            <w:shd w:val="clear" w:color="000000" w:fill="BFBFBF"/>
            <w:vAlign w:val="center"/>
            <w:hideMark/>
          </w:tcPr>
          <w:p w14:paraId="059A7261" w14:textId="77777777" w:rsidR="00556496" w:rsidRPr="00B46038" w:rsidRDefault="00556496" w:rsidP="00DA0372">
            <w:pPr>
              <w:jc w:val="right"/>
              <w:rPr>
                <w:color w:val="000000"/>
                <w:sz w:val="16"/>
                <w:szCs w:val="16"/>
              </w:rPr>
            </w:pPr>
            <w:r w:rsidRPr="00B46038">
              <w:rPr>
                <w:color w:val="000000"/>
                <w:sz w:val="16"/>
                <w:szCs w:val="16"/>
              </w:rPr>
              <w:t>4,37</w:t>
            </w:r>
          </w:p>
        </w:tc>
        <w:tc>
          <w:tcPr>
            <w:tcW w:w="871" w:type="dxa"/>
            <w:tcBorders>
              <w:top w:val="nil"/>
              <w:left w:val="nil"/>
              <w:bottom w:val="single" w:sz="4" w:space="0" w:color="auto"/>
              <w:right w:val="single" w:sz="8" w:space="0" w:color="auto"/>
            </w:tcBorders>
            <w:shd w:val="clear" w:color="000000" w:fill="BFBFBF"/>
            <w:vAlign w:val="center"/>
            <w:hideMark/>
          </w:tcPr>
          <w:p w14:paraId="1122A3B8" w14:textId="77777777" w:rsidR="00556496" w:rsidRPr="00B46038" w:rsidRDefault="00556496" w:rsidP="00DA0372">
            <w:pPr>
              <w:jc w:val="right"/>
              <w:rPr>
                <w:color w:val="000000"/>
                <w:sz w:val="16"/>
                <w:szCs w:val="16"/>
              </w:rPr>
            </w:pPr>
            <w:r w:rsidRPr="00B46038">
              <w:rPr>
                <w:color w:val="000000"/>
                <w:sz w:val="16"/>
                <w:szCs w:val="16"/>
              </w:rPr>
              <w:t>6,57</w:t>
            </w:r>
          </w:p>
        </w:tc>
      </w:tr>
      <w:tr w:rsidR="00556496" w14:paraId="4C6D41E8" w14:textId="77777777" w:rsidTr="00DA0372">
        <w:trPr>
          <w:trHeight w:val="338"/>
        </w:trPr>
        <w:tc>
          <w:tcPr>
            <w:tcW w:w="1435" w:type="dxa"/>
            <w:vMerge/>
            <w:tcBorders>
              <w:top w:val="nil"/>
              <w:left w:val="single" w:sz="8" w:space="0" w:color="auto"/>
              <w:bottom w:val="single" w:sz="8" w:space="0" w:color="auto"/>
              <w:right w:val="nil"/>
            </w:tcBorders>
            <w:vAlign w:val="center"/>
            <w:hideMark/>
          </w:tcPr>
          <w:p w14:paraId="19A701EF" w14:textId="77777777" w:rsidR="00556496" w:rsidRPr="00B46038" w:rsidRDefault="00556496" w:rsidP="00DA0372">
            <w:pPr>
              <w:rPr>
                <w:color w:val="000000"/>
                <w:sz w:val="16"/>
                <w:szCs w:val="16"/>
              </w:rPr>
            </w:pPr>
          </w:p>
        </w:tc>
        <w:tc>
          <w:tcPr>
            <w:tcW w:w="2340" w:type="dxa"/>
            <w:tcBorders>
              <w:top w:val="nil"/>
              <w:left w:val="single" w:sz="8" w:space="0" w:color="auto"/>
              <w:bottom w:val="single" w:sz="8" w:space="0" w:color="auto"/>
              <w:right w:val="single" w:sz="4" w:space="0" w:color="auto"/>
            </w:tcBorders>
            <w:shd w:val="clear" w:color="000000" w:fill="BFBFBF"/>
            <w:vAlign w:val="center"/>
            <w:hideMark/>
          </w:tcPr>
          <w:p w14:paraId="3701ED24" w14:textId="77777777" w:rsidR="00556496" w:rsidRPr="00B46038" w:rsidRDefault="00556496" w:rsidP="00DA0372">
            <w:pPr>
              <w:rPr>
                <w:color w:val="000000"/>
                <w:sz w:val="16"/>
                <w:szCs w:val="16"/>
              </w:rPr>
            </w:pPr>
            <w:r w:rsidRPr="00B46038">
              <w:rPr>
                <w:color w:val="000000"/>
                <w:sz w:val="16"/>
                <w:szCs w:val="16"/>
              </w:rPr>
              <w:t>GMSK 2-pulse (BT=0.18)</w:t>
            </w:r>
          </w:p>
        </w:tc>
        <w:tc>
          <w:tcPr>
            <w:tcW w:w="900" w:type="dxa"/>
            <w:tcBorders>
              <w:top w:val="nil"/>
              <w:left w:val="nil"/>
              <w:bottom w:val="single" w:sz="8" w:space="0" w:color="auto"/>
              <w:right w:val="single" w:sz="4" w:space="0" w:color="auto"/>
            </w:tcBorders>
            <w:shd w:val="clear" w:color="000000" w:fill="BFBFBF"/>
            <w:vAlign w:val="center"/>
            <w:hideMark/>
          </w:tcPr>
          <w:p w14:paraId="5FF34436" w14:textId="77777777" w:rsidR="00556496" w:rsidRPr="00B46038" w:rsidRDefault="00556496" w:rsidP="00DA0372">
            <w:pPr>
              <w:jc w:val="right"/>
              <w:rPr>
                <w:color w:val="000000"/>
                <w:sz w:val="16"/>
                <w:szCs w:val="16"/>
              </w:rPr>
            </w:pPr>
            <w:r w:rsidRPr="00B46038">
              <w:rPr>
                <w:color w:val="000000"/>
                <w:sz w:val="16"/>
                <w:szCs w:val="16"/>
              </w:rPr>
              <w:t>-0,81</w:t>
            </w:r>
          </w:p>
        </w:tc>
        <w:tc>
          <w:tcPr>
            <w:tcW w:w="810" w:type="dxa"/>
            <w:tcBorders>
              <w:top w:val="nil"/>
              <w:left w:val="nil"/>
              <w:bottom w:val="single" w:sz="8" w:space="0" w:color="auto"/>
              <w:right w:val="single" w:sz="4" w:space="0" w:color="auto"/>
            </w:tcBorders>
            <w:shd w:val="clear" w:color="000000" w:fill="BFBFBF"/>
            <w:vAlign w:val="center"/>
            <w:hideMark/>
          </w:tcPr>
          <w:p w14:paraId="128CA60F" w14:textId="77777777" w:rsidR="00556496" w:rsidRPr="00B46038" w:rsidRDefault="00556496" w:rsidP="00DA0372">
            <w:pPr>
              <w:jc w:val="right"/>
              <w:rPr>
                <w:b/>
                <w:bCs/>
                <w:color w:val="000000"/>
                <w:sz w:val="16"/>
                <w:szCs w:val="16"/>
              </w:rPr>
            </w:pPr>
            <w:r w:rsidRPr="00B46038">
              <w:rPr>
                <w:b/>
                <w:bCs/>
                <w:color w:val="000000"/>
                <w:sz w:val="16"/>
                <w:szCs w:val="16"/>
              </w:rPr>
              <w:t>5,11</w:t>
            </w:r>
          </w:p>
        </w:tc>
        <w:tc>
          <w:tcPr>
            <w:tcW w:w="900" w:type="dxa"/>
            <w:tcBorders>
              <w:top w:val="nil"/>
              <w:left w:val="nil"/>
              <w:bottom w:val="single" w:sz="8" w:space="0" w:color="auto"/>
              <w:right w:val="single" w:sz="4" w:space="0" w:color="auto"/>
            </w:tcBorders>
            <w:shd w:val="clear" w:color="000000" w:fill="BFBFBF"/>
            <w:vAlign w:val="center"/>
            <w:hideMark/>
          </w:tcPr>
          <w:p w14:paraId="38CB4A24" w14:textId="77777777" w:rsidR="00556496" w:rsidRPr="00B46038" w:rsidRDefault="00556496" w:rsidP="00DA0372">
            <w:pPr>
              <w:jc w:val="right"/>
              <w:rPr>
                <w:b/>
                <w:bCs/>
                <w:color w:val="000000"/>
                <w:sz w:val="16"/>
                <w:szCs w:val="16"/>
              </w:rPr>
            </w:pPr>
            <w:r w:rsidRPr="00B46038">
              <w:rPr>
                <w:b/>
                <w:bCs/>
                <w:color w:val="000000"/>
                <w:sz w:val="16"/>
                <w:szCs w:val="16"/>
              </w:rPr>
              <w:t>5,11</w:t>
            </w:r>
          </w:p>
        </w:tc>
        <w:tc>
          <w:tcPr>
            <w:tcW w:w="988" w:type="dxa"/>
            <w:tcBorders>
              <w:top w:val="nil"/>
              <w:left w:val="nil"/>
              <w:bottom w:val="single" w:sz="8" w:space="0" w:color="auto"/>
              <w:right w:val="single" w:sz="4" w:space="0" w:color="auto"/>
            </w:tcBorders>
            <w:shd w:val="clear" w:color="000000" w:fill="BFBFBF"/>
            <w:vAlign w:val="center"/>
            <w:hideMark/>
          </w:tcPr>
          <w:p w14:paraId="69E825DC" w14:textId="77777777" w:rsidR="00556496" w:rsidRPr="00B46038" w:rsidRDefault="00556496" w:rsidP="00DA0372">
            <w:pPr>
              <w:jc w:val="right"/>
              <w:rPr>
                <w:b/>
                <w:bCs/>
                <w:color w:val="000000"/>
                <w:sz w:val="16"/>
                <w:szCs w:val="16"/>
              </w:rPr>
            </w:pPr>
            <w:r w:rsidRPr="00B46038">
              <w:rPr>
                <w:b/>
                <w:bCs/>
                <w:color w:val="000000"/>
                <w:sz w:val="16"/>
                <w:szCs w:val="16"/>
              </w:rPr>
              <w:t>8,13</w:t>
            </w:r>
          </w:p>
        </w:tc>
        <w:tc>
          <w:tcPr>
            <w:tcW w:w="1022" w:type="dxa"/>
            <w:tcBorders>
              <w:top w:val="nil"/>
              <w:left w:val="nil"/>
              <w:bottom w:val="single" w:sz="8" w:space="0" w:color="auto"/>
              <w:right w:val="single" w:sz="4" w:space="0" w:color="auto"/>
            </w:tcBorders>
            <w:shd w:val="clear" w:color="000000" w:fill="BFBFBF"/>
            <w:vAlign w:val="center"/>
            <w:hideMark/>
          </w:tcPr>
          <w:p w14:paraId="0A016083" w14:textId="77777777" w:rsidR="00556496" w:rsidRPr="00B46038" w:rsidRDefault="00556496" w:rsidP="00DA0372">
            <w:pPr>
              <w:jc w:val="right"/>
              <w:rPr>
                <w:b/>
                <w:bCs/>
                <w:color w:val="000000"/>
                <w:sz w:val="16"/>
                <w:szCs w:val="16"/>
              </w:rPr>
            </w:pPr>
            <w:r w:rsidRPr="00B46038">
              <w:rPr>
                <w:b/>
                <w:bCs/>
                <w:color w:val="000000"/>
                <w:sz w:val="16"/>
                <w:szCs w:val="16"/>
              </w:rPr>
              <w:t>4,3</w:t>
            </w:r>
          </w:p>
        </w:tc>
        <w:tc>
          <w:tcPr>
            <w:tcW w:w="871" w:type="dxa"/>
            <w:tcBorders>
              <w:top w:val="nil"/>
              <w:left w:val="nil"/>
              <w:bottom w:val="single" w:sz="8" w:space="0" w:color="auto"/>
              <w:right w:val="single" w:sz="4" w:space="0" w:color="auto"/>
            </w:tcBorders>
            <w:shd w:val="clear" w:color="000000" w:fill="BFBFBF"/>
            <w:vAlign w:val="center"/>
            <w:hideMark/>
          </w:tcPr>
          <w:p w14:paraId="71E0312B" w14:textId="77777777" w:rsidR="00556496" w:rsidRPr="00B46038" w:rsidRDefault="00556496" w:rsidP="00DA0372">
            <w:pPr>
              <w:jc w:val="right"/>
              <w:rPr>
                <w:color w:val="000000"/>
                <w:sz w:val="16"/>
                <w:szCs w:val="16"/>
              </w:rPr>
            </w:pPr>
            <w:r w:rsidRPr="00B46038">
              <w:rPr>
                <w:color w:val="000000"/>
                <w:sz w:val="16"/>
                <w:szCs w:val="16"/>
              </w:rPr>
              <w:t>4,3</w:t>
            </w:r>
          </w:p>
        </w:tc>
        <w:tc>
          <w:tcPr>
            <w:tcW w:w="871" w:type="dxa"/>
            <w:tcBorders>
              <w:top w:val="nil"/>
              <w:left w:val="nil"/>
              <w:bottom w:val="single" w:sz="8" w:space="0" w:color="auto"/>
              <w:right w:val="single" w:sz="8" w:space="0" w:color="auto"/>
            </w:tcBorders>
            <w:shd w:val="clear" w:color="000000" w:fill="BFBFBF"/>
            <w:vAlign w:val="center"/>
            <w:hideMark/>
          </w:tcPr>
          <w:p w14:paraId="40CB2593" w14:textId="77777777" w:rsidR="00556496" w:rsidRPr="00B46038" w:rsidRDefault="00556496" w:rsidP="00DA0372">
            <w:pPr>
              <w:jc w:val="right"/>
              <w:rPr>
                <w:b/>
                <w:bCs/>
                <w:color w:val="000000"/>
                <w:sz w:val="16"/>
                <w:szCs w:val="16"/>
              </w:rPr>
            </w:pPr>
            <w:r w:rsidRPr="00B46038">
              <w:rPr>
                <w:b/>
                <w:bCs/>
                <w:color w:val="000000"/>
                <w:sz w:val="16"/>
                <w:szCs w:val="16"/>
              </w:rPr>
              <w:t>7,32</w:t>
            </w:r>
          </w:p>
        </w:tc>
      </w:tr>
    </w:tbl>
    <w:p w14:paraId="2DB4A5E9" w14:textId="77777777" w:rsidR="00556496" w:rsidRDefault="00556496" w:rsidP="003B313A">
      <w:pPr>
        <w:autoSpaceDE w:val="0"/>
        <w:autoSpaceDN w:val="0"/>
        <w:adjustRightInd w:val="0"/>
        <w:jc w:val="both"/>
        <w:rPr>
          <w:color w:val="000000" w:themeColor="text1"/>
          <w:sz w:val="20"/>
          <w:szCs w:val="20"/>
        </w:rPr>
      </w:pPr>
    </w:p>
    <w:p w14:paraId="2146F6D1" w14:textId="5F5CAFC7" w:rsidR="008F4E8B" w:rsidRDefault="008F4E8B" w:rsidP="003B313A">
      <w:pPr>
        <w:autoSpaceDE w:val="0"/>
        <w:autoSpaceDN w:val="0"/>
        <w:adjustRightInd w:val="0"/>
        <w:jc w:val="both"/>
        <w:rPr>
          <w:color w:val="000000" w:themeColor="text1"/>
          <w:sz w:val="20"/>
          <w:szCs w:val="20"/>
        </w:rPr>
      </w:pPr>
    </w:p>
    <w:p w14:paraId="34C99636" w14:textId="77777777" w:rsidR="008E7986" w:rsidRPr="004B4345" w:rsidRDefault="008E7986" w:rsidP="008E7986">
      <w:pPr>
        <w:pStyle w:val="Heading1"/>
        <w:rPr>
          <w:color w:val="000000" w:themeColor="text1"/>
        </w:rPr>
      </w:pPr>
      <w:r w:rsidRPr="004B4345">
        <w:rPr>
          <w:color w:val="000000" w:themeColor="text1"/>
        </w:rPr>
        <w:t>3</w:t>
      </w:r>
      <w:r w:rsidRPr="004B4345">
        <w:rPr>
          <w:color w:val="000000" w:themeColor="text1"/>
        </w:rPr>
        <w:tab/>
        <w:t>Conclusions</w:t>
      </w:r>
    </w:p>
    <w:p w14:paraId="6F3027FC" w14:textId="0B5BD39A" w:rsidR="00300BA9" w:rsidRPr="004B4345" w:rsidRDefault="00B61EEA" w:rsidP="00300BA9">
      <w:pPr>
        <w:rPr>
          <w:color w:val="000000" w:themeColor="text1"/>
          <w:sz w:val="20"/>
          <w:szCs w:val="20"/>
        </w:rPr>
      </w:pPr>
      <w:r w:rsidRPr="004B4345">
        <w:rPr>
          <w:color w:val="000000" w:themeColor="text1"/>
          <w:sz w:val="20"/>
          <w:szCs w:val="20"/>
        </w:rPr>
        <w:t xml:space="preserve">In this contribution, </w:t>
      </w:r>
      <w:r w:rsidR="00A91EAD" w:rsidRPr="004B4345">
        <w:rPr>
          <w:color w:val="000000" w:themeColor="text1"/>
          <w:sz w:val="20"/>
          <w:szCs w:val="20"/>
        </w:rPr>
        <w:t xml:space="preserve">we </w:t>
      </w:r>
      <w:r w:rsidR="00A33664">
        <w:rPr>
          <w:color w:val="000000" w:themeColor="text1"/>
          <w:sz w:val="20"/>
          <w:szCs w:val="20"/>
        </w:rPr>
        <w:t xml:space="preserve">discuss 6G system parameters and </w:t>
      </w:r>
      <w:r w:rsidR="0060672A" w:rsidRPr="004B4345">
        <w:rPr>
          <w:color w:val="000000" w:themeColor="text1"/>
          <w:sz w:val="20"/>
          <w:szCs w:val="20"/>
        </w:rPr>
        <w:t xml:space="preserve">make the </w:t>
      </w:r>
      <w:r w:rsidR="004C15C7" w:rsidRPr="004B4345">
        <w:rPr>
          <w:color w:val="000000" w:themeColor="text1"/>
          <w:sz w:val="20"/>
          <w:szCs w:val="20"/>
        </w:rPr>
        <w:t>following proposal</w:t>
      </w:r>
      <w:r w:rsidR="0060672A" w:rsidRPr="004B4345">
        <w:rPr>
          <w:color w:val="000000" w:themeColor="text1"/>
          <w:sz w:val="20"/>
          <w:szCs w:val="20"/>
        </w:rPr>
        <w:t>s</w:t>
      </w:r>
      <w:r w:rsidR="00A91EAD" w:rsidRPr="004B4345">
        <w:rPr>
          <w:color w:val="000000" w:themeColor="text1"/>
          <w:sz w:val="20"/>
          <w:szCs w:val="20"/>
        </w:rPr>
        <w:t>.</w:t>
      </w:r>
    </w:p>
    <w:p w14:paraId="008FBF47" w14:textId="77777777" w:rsidR="004C15C7" w:rsidRPr="004B4345" w:rsidRDefault="004C15C7" w:rsidP="00300BA9">
      <w:pPr>
        <w:rPr>
          <w:color w:val="000000" w:themeColor="text1"/>
          <w:sz w:val="20"/>
          <w:szCs w:val="20"/>
        </w:rPr>
      </w:pPr>
    </w:p>
    <w:p w14:paraId="19E1CFB8" w14:textId="77777777" w:rsidR="002B7EC9" w:rsidRDefault="002B7EC9" w:rsidP="002B7EC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1: It is proposed to </w:t>
      </w:r>
      <w:r>
        <w:rPr>
          <w:b/>
          <w:bCs/>
          <w:i/>
          <w:iCs/>
          <w:color w:val="000000" w:themeColor="text1"/>
          <w:sz w:val="20"/>
          <w:szCs w:val="20"/>
        </w:rPr>
        <w:t xml:space="preserve">agree on the use of net coverage gain as the evaluation metric in the UL low PAPR waveform evaluation. More specifically, RAN4 evaluation should focus on deriving </w:t>
      </w:r>
      <w:r w:rsidRPr="00D768E4">
        <w:rPr>
          <w:b/>
          <w:bCs/>
          <w:i/>
          <w:iCs/>
          <w:color w:val="000000" w:themeColor="text1"/>
          <w:sz w:val="20"/>
          <w:szCs w:val="20"/>
        </w:rPr>
        <w:sym w:font="Symbol" w:char="F044"/>
      </w:r>
      <w:r w:rsidRPr="00D768E4">
        <w:rPr>
          <w:b/>
          <w:bCs/>
          <w:i/>
          <w:iCs/>
          <w:color w:val="000000" w:themeColor="text1"/>
          <w:sz w:val="20"/>
          <w:szCs w:val="20"/>
        </w:rPr>
        <w:t>MPR</w:t>
      </w:r>
      <w:r>
        <w:rPr>
          <w:b/>
          <w:bCs/>
          <w:i/>
          <w:iCs/>
          <w:color w:val="000000" w:themeColor="text1"/>
          <w:sz w:val="20"/>
          <w:szCs w:val="20"/>
        </w:rPr>
        <w:t xml:space="preserve"> based on simulation. </w:t>
      </w:r>
    </w:p>
    <w:p w14:paraId="328795C1" w14:textId="77777777" w:rsidR="002F2F24" w:rsidRDefault="002F2F24" w:rsidP="002F2F24">
      <w:pPr>
        <w:spacing w:before="100" w:beforeAutospacing="1" w:after="100"/>
        <w:rPr>
          <w:b/>
          <w:bCs/>
          <w:i/>
          <w:iCs/>
          <w:color w:val="000000" w:themeColor="text1"/>
          <w:sz w:val="20"/>
          <w:szCs w:val="20"/>
        </w:rPr>
      </w:pPr>
      <w:r w:rsidRPr="005E7E66">
        <w:rPr>
          <w:b/>
          <w:bCs/>
          <w:i/>
          <w:iCs/>
          <w:color w:val="000000" w:themeColor="text1"/>
          <w:sz w:val="20"/>
          <w:szCs w:val="20"/>
        </w:rPr>
        <w:t>Proposal 2: It is proposed to keep the same spectrum efficiency in the waveform evaluation for fair comparison.</w:t>
      </w:r>
    </w:p>
    <w:p w14:paraId="0550DB0B" w14:textId="19DAD54D" w:rsidR="002B7EC9" w:rsidRDefault="002B7EC9" w:rsidP="002B7EC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2F2F24">
        <w:rPr>
          <w:b/>
          <w:bCs/>
          <w:i/>
          <w:iCs/>
          <w:color w:val="000000" w:themeColor="text1"/>
          <w:sz w:val="20"/>
          <w:szCs w:val="20"/>
        </w:rPr>
        <w:t>3</w:t>
      </w:r>
      <w:r w:rsidRPr="004B4345">
        <w:rPr>
          <w:b/>
          <w:bCs/>
          <w:i/>
          <w:iCs/>
          <w:color w:val="000000" w:themeColor="text1"/>
          <w:sz w:val="20"/>
          <w:szCs w:val="20"/>
        </w:rPr>
        <w:t xml:space="preserve">: </w:t>
      </w:r>
      <w:r>
        <w:rPr>
          <w:b/>
          <w:bCs/>
          <w:i/>
          <w:iCs/>
          <w:color w:val="000000" w:themeColor="text1"/>
          <w:sz w:val="20"/>
          <w:szCs w:val="20"/>
        </w:rPr>
        <w:t>In the evaluation, i</w:t>
      </w:r>
      <w:r w:rsidRPr="004B4345">
        <w:rPr>
          <w:b/>
          <w:bCs/>
          <w:i/>
          <w:iCs/>
          <w:color w:val="000000" w:themeColor="text1"/>
          <w:sz w:val="20"/>
          <w:szCs w:val="20"/>
        </w:rPr>
        <w:t xml:space="preserve">t is proposed to </w:t>
      </w:r>
      <w:r>
        <w:rPr>
          <w:b/>
          <w:bCs/>
          <w:i/>
          <w:iCs/>
          <w:color w:val="000000" w:themeColor="text1"/>
          <w:sz w:val="20"/>
          <w:szCs w:val="20"/>
        </w:rPr>
        <w:t xml:space="preserve">consider reusing the 5G requirements </w:t>
      </w:r>
      <w:r w:rsidRPr="006E582E">
        <w:rPr>
          <w:b/>
          <w:bCs/>
          <w:i/>
          <w:iCs/>
          <w:color w:val="000000" w:themeColor="text1"/>
          <w:sz w:val="20"/>
          <w:szCs w:val="20"/>
        </w:rPr>
        <w:t>including ACLR, SEM, IBE, EVM</w:t>
      </w:r>
      <w:r>
        <w:rPr>
          <w:b/>
          <w:bCs/>
          <w:i/>
          <w:iCs/>
          <w:color w:val="000000" w:themeColor="text1"/>
          <w:sz w:val="20"/>
          <w:szCs w:val="20"/>
        </w:rPr>
        <w:t xml:space="preserve"> and spectrum utilization. In addition, FFS on which ACLR requirement to use depending on the amount of power boosting rendered by the low PAPR waveform. </w:t>
      </w:r>
      <w:r w:rsidRPr="006E582E">
        <w:rPr>
          <w:b/>
          <w:bCs/>
          <w:i/>
          <w:iCs/>
          <w:color w:val="000000" w:themeColor="text1"/>
          <w:sz w:val="20"/>
          <w:szCs w:val="20"/>
        </w:rPr>
        <w:t xml:space="preserve"> </w:t>
      </w:r>
    </w:p>
    <w:p w14:paraId="1BBD5C63" w14:textId="1B7AD54B" w:rsidR="007A3CE8" w:rsidRDefault="007A3CE8" w:rsidP="005E7E66">
      <w:pPr>
        <w:spacing w:before="100" w:beforeAutospacing="1" w:after="100"/>
        <w:jc w:val="both"/>
        <w:rPr>
          <w:b/>
          <w:bCs/>
          <w:i/>
          <w:iCs/>
          <w:color w:val="000000" w:themeColor="text1"/>
          <w:sz w:val="20"/>
          <w:szCs w:val="20"/>
        </w:rPr>
      </w:pPr>
      <w:r w:rsidRPr="004B4345">
        <w:rPr>
          <w:b/>
          <w:bCs/>
          <w:i/>
          <w:iCs/>
          <w:color w:val="000000" w:themeColor="text1"/>
          <w:sz w:val="20"/>
          <w:szCs w:val="20"/>
        </w:rPr>
        <w:t xml:space="preserve">Proposal </w:t>
      </w:r>
      <w:r>
        <w:rPr>
          <w:b/>
          <w:bCs/>
          <w:i/>
          <w:iCs/>
          <w:color w:val="000000" w:themeColor="text1"/>
          <w:sz w:val="20"/>
          <w:szCs w:val="20"/>
        </w:rPr>
        <w:t>4</w:t>
      </w:r>
      <w:r w:rsidRPr="004B4345">
        <w:rPr>
          <w:b/>
          <w:bCs/>
          <w:i/>
          <w:iCs/>
          <w:color w:val="000000" w:themeColor="text1"/>
          <w:sz w:val="20"/>
          <w:szCs w:val="20"/>
        </w:rPr>
        <w:t xml:space="preserve">: </w:t>
      </w:r>
      <w:r>
        <w:rPr>
          <w:b/>
          <w:bCs/>
          <w:i/>
          <w:iCs/>
          <w:color w:val="000000" w:themeColor="text1"/>
          <w:sz w:val="20"/>
          <w:szCs w:val="20"/>
        </w:rPr>
        <w:t>In the evaluation, companies can choose their own P</w:t>
      </w:r>
      <w:r w:rsidRPr="006169C0">
        <w:rPr>
          <w:b/>
          <w:bCs/>
          <w:i/>
          <w:iCs/>
          <w:color w:val="000000" w:themeColor="text1"/>
          <w:sz w:val="20"/>
          <w:szCs w:val="20"/>
        </w:rPr>
        <w:t xml:space="preserve">A model </w:t>
      </w:r>
      <w:r>
        <w:rPr>
          <w:b/>
          <w:bCs/>
          <w:i/>
          <w:iCs/>
          <w:color w:val="000000" w:themeColor="text1"/>
          <w:sz w:val="20"/>
          <w:szCs w:val="20"/>
        </w:rPr>
        <w:t xml:space="preserve">and </w:t>
      </w:r>
      <w:r w:rsidRPr="006169C0">
        <w:rPr>
          <w:b/>
          <w:bCs/>
          <w:i/>
          <w:iCs/>
          <w:color w:val="000000" w:themeColor="text1"/>
          <w:sz w:val="20"/>
          <w:szCs w:val="20"/>
        </w:rPr>
        <w:t>state clearly how the PA is calibrated</w:t>
      </w:r>
      <w:r>
        <w:rPr>
          <w:b/>
          <w:bCs/>
          <w:i/>
          <w:iCs/>
          <w:color w:val="000000" w:themeColor="text1"/>
          <w:sz w:val="20"/>
          <w:szCs w:val="20"/>
        </w:rPr>
        <w:t xml:space="preserve"> to facilitate comparison. Use of supply voltage adaptations in case of </w:t>
      </w:r>
      <w:proofErr w:type="gramStart"/>
      <w:r>
        <w:rPr>
          <w:b/>
          <w:bCs/>
          <w:i/>
          <w:iCs/>
          <w:color w:val="000000" w:themeColor="text1"/>
          <w:sz w:val="20"/>
          <w:szCs w:val="20"/>
        </w:rPr>
        <w:t>high power</w:t>
      </w:r>
      <w:proofErr w:type="gramEnd"/>
      <w:r>
        <w:rPr>
          <w:b/>
          <w:bCs/>
          <w:i/>
          <w:iCs/>
          <w:color w:val="000000" w:themeColor="text1"/>
          <w:sz w:val="20"/>
          <w:szCs w:val="20"/>
        </w:rPr>
        <w:t xml:space="preserve"> back-off scenarios shall not be precluded.</w:t>
      </w:r>
    </w:p>
    <w:p w14:paraId="2052ECB6" w14:textId="4F4E35A7" w:rsidR="002B7EC9" w:rsidRDefault="002B7EC9" w:rsidP="002B7EC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2F2F24">
        <w:rPr>
          <w:b/>
          <w:bCs/>
          <w:i/>
          <w:iCs/>
          <w:color w:val="000000" w:themeColor="text1"/>
          <w:sz w:val="20"/>
          <w:szCs w:val="20"/>
        </w:rPr>
        <w:t>5</w:t>
      </w:r>
      <w:r w:rsidRPr="004B4345">
        <w:rPr>
          <w:b/>
          <w:bCs/>
          <w:i/>
          <w:iCs/>
          <w:color w:val="000000" w:themeColor="text1"/>
          <w:sz w:val="20"/>
          <w:szCs w:val="20"/>
        </w:rPr>
        <w:t xml:space="preserve">: </w:t>
      </w:r>
      <w:r>
        <w:rPr>
          <w:b/>
          <w:bCs/>
          <w:i/>
          <w:iCs/>
          <w:color w:val="000000" w:themeColor="text1"/>
          <w:sz w:val="20"/>
          <w:szCs w:val="20"/>
        </w:rPr>
        <w:t>In the evaluation, it is up to companies if memory effects can explicitly modeled/simulated.</w:t>
      </w:r>
    </w:p>
    <w:p w14:paraId="70EE6977" w14:textId="60EB1FD6" w:rsidR="002B7EC9" w:rsidRDefault="002B7EC9" w:rsidP="002B7EC9">
      <w:pPr>
        <w:spacing w:before="100" w:beforeAutospacing="1" w:after="100"/>
        <w:rPr>
          <w:b/>
          <w:bCs/>
          <w:i/>
          <w:iCs/>
          <w:color w:val="000000" w:themeColor="text1"/>
          <w:sz w:val="20"/>
          <w:szCs w:val="20"/>
        </w:rPr>
      </w:pPr>
      <w:r w:rsidRPr="004B4345">
        <w:rPr>
          <w:b/>
          <w:bCs/>
          <w:i/>
          <w:iCs/>
          <w:color w:val="000000" w:themeColor="text1"/>
          <w:sz w:val="20"/>
          <w:szCs w:val="20"/>
        </w:rPr>
        <w:t xml:space="preserve">Proposal </w:t>
      </w:r>
      <w:r w:rsidR="002F2F24">
        <w:rPr>
          <w:b/>
          <w:bCs/>
          <w:i/>
          <w:iCs/>
          <w:color w:val="000000" w:themeColor="text1"/>
          <w:sz w:val="20"/>
          <w:szCs w:val="20"/>
        </w:rPr>
        <w:t>6</w:t>
      </w:r>
      <w:r w:rsidRPr="004B4345">
        <w:rPr>
          <w:b/>
          <w:bCs/>
          <w:i/>
          <w:iCs/>
          <w:color w:val="000000" w:themeColor="text1"/>
          <w:sz w:val="20"/>
          <w:szCs w:val="20"/>
        </w:rPr>
        <w:t xml:space="preserve">: </w:t>
      </w:r>
      <w:r>
        <w:rPr>
          <w:b/>
          <w:bCs/>
          <w:i/>
          <w:iCs/>
          <w:color w:val="000000" w:themeColor="text1"/>
          <w:sz w:val="20"/>
          <w:szCs w:val="20"/>
        </w:rPr>
        <w:t>In the evaluation, it is FFS if a larger than 20MHz CBW should be used.</w:t>
      </w:r>
    </w:p>
    <w:p w14:paraId="06EA7906" w14:textId="77777777" w:rsidR="002B7EC9" w:rsidRDefault="002B7EC9" w:rsidP="002B7EC9">
      <w:pPr>
        <w:autoSpaceDE w:val="0"/>
        <w:autoSpaceDN w:val="0"/>
        <w:adjustRightInd w:val="0"/>
        <w:jc w:val="both"/>
        <w:rPr>
          <w:color w:val="000000" w:themeColor="text1"/>
          <w:sz w:val="20"/>
          <w:szCs w:val="20"/>
        </w:rPr>
      </w:pPr>
    </w:p>
    <w:p w14:paraId="4D133CD8" w14:textId="4D8B9443" w:rsidR="00276EE4" w:rsidRPr="004B4345" w:rsidRDefault="005E69AE" w:rsidP="00BC4103">
      <w:pPr>
        <w:pStyle w:val="Heading1"/>
        <w:rPr>
          <w:color w:val="000000" w:themeColor="text1"/>
        </w:rPr>
      </w:pPr>
      <w:r w:rsidRPr="004B4345">
        <w:rPr>
          <w:color w:val="000000" w:themeColor="text1"/>
        </w:rPr>
        <w:t>4</w:t>
      </w:r>
      <w:r w:rsidRPr="004B4345">
        <w:rPr>
          <w:color w:val="000000" w:themeColor="text1"/>
        </w:rPr>
        <w:tab/>
        <w:t>References</w:t>
      </w:r>
    </w:p>
    <w:p w14:paraId="08865532" w14:textId="40B3F9D3" w:rsidR="003912EB" w:rsidRPr="002B7EC9" w:rsidRDefault="00F04B7B" w:rsidP="002B7EC9">
      <w:pPr>
        <w:pStyle w:val="EX"/>
        <w:rPr>
          <w:color w:val="000000" w:themeColor="text1"/>
          <w:sz w:val="20"/>
          <w:szCs w:val="20"/>
        </w:rPr>
      </w:pPr>
      <w:bookmarkStart w:id="1" w:name="_Ref13820109"/>
      <w:r w:rsidRPr="004B4345">
        <w:rPr>
          <w:color w:val="000000" w:themeColor="text1"/>
          <w:sz w:val="20"/>
          <w:szCs w:val="20"/>
        </w:rPr>
        <w:t>R4-2</w:t>
      </w:r>
      <w:r w:rsidR="00FB4CD6">
        <w:rPr>
          <w:color w:val="000000" w:themeColor="text1"/>
          <w:sz w:val="20"/>
          <w:szCs w:val="20"/>
        </w:rPr>
        <w:t>51</w:t>
      </w:r>
      <w:r w:rsidR="00012A6F">
        <w:rPr>
          <w:color w:val="000000" w:themeColor="text1"/>
          <w:sz w:val="20"/>
          <w:szCs w:val="20"/>
        </w:rPr>
        <w:t>4641</w:t>
      </w:r>
      <w:r w:rsidR="009D181E" w:rsidRPr="004B4345">
        <w:rPr>
          <w:color w:val="000000" w:themeColor="text1"/>
          <w:sz w:val="20"/>
          <w:szCs w:val="20"/>
        </w:rPr>
        <w:t>, "</w:t>
      </w:r>
      <w:r w:rsidR="00012A6F" w:rsidRPr="00012A6F">
        <w:rPr>
          <w:color w:val="000000" w:themeColor="text1"/>
          <w:sz w:val="20"/>
          <w:szCs w:val="20"/>
        </w:rPr>
        <w:t>WF for 6GR system parameter</w:t>
      </w:r>
      <w:r w:rsidR="009D181E" w:rsidRPr="004B4345">
        <w:rPr>
          <w:color w:val="000000" w:themeColor="text1"/>
          <w:sz w:val="20"/>
          <w:szCs w:val="20"/>
        </w:rPr>
        <w:t xml:space="preserve">," </w:t>
      </w:r>
      <w:bookmarkEnd w:id="0"/>
      <w:bookmarkEnd w:id="1"/>
      <w:r w:rsidR="00012A6F" w:rsidRPr="00012A6F">
        <w:rPr>
          <w:color w:val="000000" w:themeColor="text1"/>
          <w:sz w:val="20"/>
          <w:szCs w:val="20"/>
        </w:rPr>
        <w:t xml:space="preserve">Feature lead (Huawei, </w:t>
      </w:r>
      <w:proofErr w:type="spellStart"/>
      <w:r w:rsidR="00012A6F" w:rsidRPr="00012A6F">
        <w:rPr>
          <w:color w:val="000000" w:themeColor="text1"/>
          <w:sz w:val="20"/>
          <w:szCs w:val="20"/>
        </w:rPr>
        <w:t>HiSilicon</w:t>
      </w:r>
      <w:proofErr w:type="spellEnd"/>
      <w:r w:rsidR="00012A6F" w:rsidRPr="00012A6F">
        <w:rPr>
          <w:color w:val="000000" w:themeColor="text1"/>
          <w:sz w:val="20"/>
          <w:szCs w:val="20"/>
        </w:rPr>
        <w:t>)</w:t>
      </w:r>
    </w:p>
    <w:p w14:paraId="16445F87" w14:textId="196451A2" w:rsidR="005F613D" w:rsidRPr="004B4345" w:rsidRDefault="005F613D" w:rsidP="00FB4CD6">
      <w:pPr>
        <w:pStyle w:val="EX"/>
        <w:numPr>
          <w:ilvl w:val="0"/>
          <w:numId w:val="0"/>
        </w:numPr>
        <w:ind w:left="369"/>
        <w:rPr>
          <w:color w:val="000000" w:themeColor="text1"/>
          <w:sz w:val="20"/>
          <w:szCs w:val="20"/>
        </w:rPr>
      </w:pPr>
    </w:p>
    <w:sectPr w:rsidR="005F613D" w:rsidRPr="004B4345" w:rsidSect="00DF2649">
      <w:headerReference w:type="default" r:id="rId10"/>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2D7E9" w14:textId="77777777" w:rsidR="008E6604" w:rsidRDefault="008E6604">
      <w:r>
        <w:separator/>
      </w:r>
    </w:p>
  </w:endnote>
  <w:endnote w:type="continuationSeparator" w:id="0">
    <w:p w14:paraId="7DDB82BC" w14:textId="77777777" w:rsidR="008E6604" w:rsidRDefault="008E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77399" w14:textId="77777777" w:rsidR="008E6604" w:rsidRDefault="008E6604">
      <w:r>
        <w:separator/>
      </w:r>
    </w:p>
  </w:footnote>
  <w:footnote w:type="continuationSeparator" w:id="0">
    <w:p w14:paraId="559F4B53" w14:textId="77777777" w:rsidR="008E6604" w:rsidRDefault="008E6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C46D8B"/>
    <w:multiLevelType w:val="hybridMultilevel"/>
    <w:tmpl w:val="73C61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314D4"/>
    <w:multiLevelType w:val="hybridMultilevel"/>
    <w:tmpl w:val="79B22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5395D1E"/>
    <w:multiLevelType w:val="hybridMultilevel"/>
    <w:tmpl w:val="0F10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8873A5"/>
    <w:multiLevelType w:val="hybridMultilevel"/>
    <w:tmpl w:val="8A1A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D73E90"/>
    <w:multiLevelType w:val="multilevel"/>
    <w:tmpl w:val="9FE457F4"/>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3B62A35"/>
    <w:multiLevelType w:val="hybridMultilevel"/>
    <w:tmpl w:val="D0F61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A82048D"/>
    <w:multiLevelType w:val="hybridMultilevel"/>
    <w:tmpl w:val="8FF4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D84CA1"/>
    <w:multiLevelType w:val="hybridMultilevel"/>
    <w:tmpl w:val="FA14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101F9"/>
    <w:multiLevelType w:val="hybridMultilevel"/>
    <w:tmpl w:val="D496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6E49FA"/>
    <w:multiLevelType w:val="hybridMultilevel"/>
    <w:tmpl w:val="029EA6F2"/>
    <w:lvl w:ilvl="0" w:tplc="34364C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751471"/>
    <w:multiLevelType w:val="hybridMultilevel"/>
    <w:tmpl w:val="9DD20B7A"/>
    <w:lvl w:ilvl="0" w:tplc="428A0A40">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C1639BC"/>
    <w:multiLevelType w:val="hybridMultilevel"/>
    <w:tmpl w:val="45401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DA07DD"/>
    <w:multiLevelType w:val="hybridMultilevel"/>
    <w:tmpl w:val="AC303F9A"/>
    <w:lvl w:ilvl="0" w:tplc="D0FC0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768079E"/>
    <w:multiLevelType w:val="hybridMultilevel"/>
    <w:tmpl w:val="C47EC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6" w15:restartNumberingAfterBreak="0">
    <w:nsid w:val="59544252"/>
    <w:multiLevelType w:val="hybridMultilevel"/>
    <w:tmpl w:val="E704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7A0684"/>
    <w:multiLevelType w:val="hybridMultilevel"/>
    <w:tmpl w:val="27F8C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AB909E7"/>
    <w:multiLevelType w:val="multilevel"/>
    <w:tmpl w:val="9DD20B7A"/>
    <w:styleLink w:val="CurrentList2"/>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53"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9"/>
  </w:num>
  <w:num w:numId="5" w16cid:durableId="1501116029">
    <w:abstractNumId w:val="3"/>
  </w:num>
  <w:num w:numId="6" w16cid:durableId="1775780724">
    <w:abstractNumId w:val="3"/>
  </w:num>
  <w:num w:numId="7" w16cid:durableId="2004430155">
    <w:abstractNumId w:val="31"/>
  </w:num>
  <w:num w:numId="8" w16cid:durableId="820000239">
    <w:abstractNumId w:val="7"/>
  </w:num>
  <w:num w:numId="9" w16cid:durableId="1418207271">
    <w:abstractNumId w:val="37"/>
  </w:num>
  <w:num w:numId="10" w16cid:durableId="1583371418">
    <w:abstractNumId w:val="48"/>
  </w:num>
  <w:num w:numId="11" w16cid:durableId="654532386">
    <w:abstractNumId w:val="19"/>
  </w:num>
  <w:num w:numId="12" w16cid:durableId="1304584639">
    <w:abstractNumId w:val="15"/>
  </w:num>
  <w:num w:numId="13" w16cid:durableId="721171787">
    <w:abstractNumId w:val="13"/>
  </w:num>
  <w:num w:numId="14" w16cid:durableId="1592349769">
    <w:abstractNumId w:val="47"/>
  </w:num>
  <w:num w:numId="15" w16cid:durableId="278998918">
    <w:abstractNumId w:val="25"/>
  </w:num>
  <w:num w:numId="16" w16cid:durableId="434713335">
    <w:abstractNumId w:val="44"/>
  </w:num>
  <w:num w:numId="17" w16cid:durableId="1786650561">
    <w:abstractNumId w:val="26"/>
  </w:num>
  <w:num w:numId="18" w16cid:durableId="119229966">
    <w:abstractNumId w:val="8"/>
  </w:num>
  <w:num w:numId="19" w16cid:durableId="773282714">
    <w:abstractNumId w:val="33"/>
  </w:num>
  <w:num w:numId="20" w16cid:durableId="1943295931">
    <w:abstractNumId w:val="1"/>
  </w:num>
  <w:num w:numId="21" w16cid:durableId="721640857">
    <w:abstractNumId w:val="54"/>
  </w:num>
  <w:num w:numId="22" w16cid:durableId="1167212164">
    <w:abstractNumId w:val="55"/>
  </w:num>
  <w:num w:numId="23" w16cid:durableId="240023206">
    <w:abstractNumId w:val="34"/>
  </w:num>
  <w:num w:numId="24" w16cid:durableId="191648044">
    <w:abstractNumId w:val="18"/>
  </w:num>
  <w:num w:numId="25" w16cid:durableId="473066965">
    <w:abstractNumId w:val="32"/>
  </w:num>
  <w:num w:numId="26" w16cid:durableId="1489638411">
    <w:abstractNumId w:val="28"/>
  </w:num>
  <w:num w:numId="27" w16cid:durableId="1422525457">
    <w:abstractNumId w:val="27"/>
  </w:num>
  <w:num w:numId="28" w16cid:durableId="653946618">
    <w:abstractNumId w:val="4"/>
  </w:num>
  <w:num w:numId="29" w16cid:durableId="1543327048">
    <w:abstractNumId w:val="57"/>
  </w:num>
  <w:num w:numId="30" w16cid:durableId="991716118">
    <w:abstractNumId w:val="23"/>
  </w:num>
  <w:num w:numId="31" w16cid:durableId="737675157">
    <w:abstractNumId w:val="24"/>
  </w:num>
  <w:num w:numId="32" w16cid:durableId="526335178">
    <w:abstractNumId w:val="14"/>
  </w:num>
  <w:num w:numId="33" w16cid:durableId="557739517">
    <w:abstractNumId w:val="35"/>
  </w:num>
  <w:num w:numId="34" w16cid:durableId="1264847130">
    <w:abstractNumId w:val="52"/>
  </w:num>
  <w:num w:numId="35" w16cid:durableId="371812856">
    <w:abstractNumId w:val="38"/>
  </w:num>
  <w:num w:numId="36" w16cid:durableId="1489981921">
    <w:abstractNumId w:val="45"/>
  </w:num>
  <w:num w:numId="37" w16cid:durableId="612204437">
    <w:abstractNumId w:val="41"/>
  </w:num>
  <w:num w:numId="38" w16cid:durableId="62991483">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0027061">
    <w:abstractNumId w:val="46"/>
  </w:num>
  <w:num w:numId="40" w16cid:durableId="1103039994">
    <w:abstractNumId w:val="42"/>
  </w:num>
  <w:num w:numId="41" w16cid:durableId="606161233">
    <w:abstractNumId w:val="9"/>
  </w:num>
  <w:num w:numId="42" w16cid:durableId="377362836">
    <w:abstractNumId w:val="5"/>
  </w:num>
  <w:num w:numId="43" w16cid:durableId="1526678661">
    <w:abstractNumId w:val="50"/>
  </w:num>
  <w:num w:numId="44" w16cid:durableId="381178554">
    <w:abstractNumId w:val="39"/>
  </w:num>
  <w:num w:numId="45" w16cid:durableId="2124416032">
    <w:abstractNumId w:val="56"/>
  </w:num>
  <w:num w:numId="46" w16cid:durableId="1835757643">
    <w:abstractNumId w:val="40"/>
  </w:num>
  <w:num w:numId="47" w16cid:durableId="4943661">
    <w:abstractNumId w:val="11"/>
  </w:num>
  <w:num w:numId="48" w16cid:durableId="1357266428">
    <w:abstractNumId w:val="16"/>
  </w:num>
  <w:num w:numId="49" w16cid:durableId="1788550428">
    <w:abstractNumId w:val="30"/>
  </w:num>
  <w:num w:numId="50" w16cid:durableId="182089614">
    <w:abstractNumId w:val="51"/>
  </w:num>
  <w:num w:numId="51" w16cid:durableId="921649103">
    <w:abstractNumId w:val="20"/>
  </w:num>
  <w:num w:numId="52" w16cid:durableId="347830390">
    <w:abstractNumId w:val="12"/>
  </w:num>
  <w:num w:numId="53" w16cid:durableId="568005214">
    <w:abstractNumId w:val="43"/>
  </w:num>
  <w:num w:numId="54" w16cid:durableId="518351422">
    <w:abstractNumId w:val="21"/>
  </w:num>
  <w:num w:numId="55" w16cid:durableId="1858960949">
    <w:abstractNumId w:val="6"/>
  </w:num>
  <w:num w:numId="56" w16cid:durableId="79640673">
    <w:abstractNumId w:val="10"/>
  </w:num>
  <w:num w:numId="57" w16cid:durableId="739912304">
    <w:abstractNumId w:val="29"/>
  </w:num>
  <w:num w:numId="58" w16cid:durableId="1340155676">
    <w:abstractNumId w:val="36"/>
  </w:num>
  <w:num w:numId="59" w16cid:durableId="348871077">
    <w:abstractNumId w:val="22"/>
  </w:num>
  <w:num w:numId="60" w16cid:durableId="6340668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2A6F"/>
    <w:rsid w:val="00021563"/>
    <w:rsid w:val="00022507"/>
    <w:rsid w:val="000262F6"/>
    <w:rsid w:val="00026BD3"/>
    <w:rsid w:val="00027A50"/>
    <w:rsid w:val="00033397"/>
    <w:rsid w:val="00034883"/>
    <w:rsid w:val="00040095"/>
    <w:rsid w:val="000438C2"/>
    <w:rsid w:val="00046768"/>
    <w:rsid w:val="0004681A"/>
    <w:rsid w:val="00051834"/>
    <w:rsid w:val="000528BC"/>
    <w:rsid w:val="000532B7"/>
    <w:rsid w:val="0005448B"/>
    <w:rsid w:val="0005477E"/>
    <w:rsid w:val="00054A22"/>
    <w:rsid w:val="00060F87"/>
    <w:rsid w:val="00062023"/>
    <w:rsid w:val="00063A26"/>
    <w:rsid w:val="000655A6"/>
    <w:rsid w:val="00077697"/>
    <w:rsid w:val="00080512"/>
    <w:rsid w:val="00082A83"/>
    <w:rsid w:val="0009500A"/>
    <w:rsid w:val="00096CD8"/>
    <w:rsid w:val="000A365D"/>
    <w:rsid w:val="000A46CB"/>
    <w:rsid w:val="000A6245"/>
    <w:rsid w:val="000A68F3"/>
    <w:rsid w:val="000B4E6A"/>
    <w:rsid w:val="000B7599"/>
    <w:rsid w:val="000C2D5F"/>
    <w:rsid w:val="000C47C3"/>
    <w:rsid w:val="000D08EF"/>
    <w:rsid w:val="000D2AB6"/>
    <w:rsid w:val="000D2C4B"/>
    <w:rsid w:val="000D5103"/>
    <w:rsid w:val="000D58AB"/>
    <w:rsid w:val="000D7878"/>
    <w:rsid w:val="000E2674"/>
    <w:rsid w:val="000E3702"/>
    <w:rsid w:val="000F1D2A"/>
    <w:rsid w:val="000F2378"/>
    <w:rsid w:val="000F3400"/>
    <w:rsid w:val="000F42F7"/>
    <w:rsid w:val="000F4BE8"/>
    <w:rsid w:val="000F5D71"/>
    <w:rsid w:val="00101278"/>
    <w:rsid w:val="00101EB9"/>
    <w:rsid w:val="00104BC6"/>
    <w:rsid w:val="00112A20"/>
    <w:rsid w:val="00112D80"/>
    <w:rsid w:val="00114E2C"/>
    <w:rsid w:val="00125033"/>
    <w:rsid w:val="00130B69"/>
    <w:rsid w:val="00130E71"/>
    <w:rsid w:val="001319D7"/>
    <w:rsid w:val="00133525"/>
    <w:rsid w:val="00134E23"/>
    <w:rsid w:val="00135619"/>
    <w:rsid w:val="001501C8"/>
    <w:rsid w:val="00152010"/>
    <w:rsid w:val="00153E23"/>
    <w:rsid w:val="00155EA5"/>
    <w:rsid w:val="001613D8"/>
    <w:rsid w:val="001620A7"/>
    <w:rsid w:val="00162A8A"/>
    <w:rsid w:val="00165302"/>
    <w:rsid w:val="00165DE1"/>
    <w:rsid w:val="00171166"/>
    <w:rsid w:val="00180253"/>
    <w:rsid w:val="00182F98"/>
    <w:rsid w:val="00185408"/>
    <w:rsid w:val="0019040A"/>
    <w:rsid w:val="00191964"/>
    <w:rsid w:val="00193F04"/>
    <w:rsid w:val="001A1513"/>
    <w:rsid w:val="001A2F3F"/>
    <w:rsid w:val="001A4201"/>
    <w:rsid w:val="001A4C42"/>
    <w:rsid w:val="001C21C3"/>
    <w:rsid w:val="001C71A4"/>
    <w:rsid w:val="001D02C2"/>
    <w:rsid w:val="001D0D15"/>
    <w:rsid w:val="001D3883"/>
    <w:rsid w:val="001D69B8"/>
    <w:rsid w:val="001E56AE"/>
    <w:rsid w:val="001E6A20"/>
    <w:rsid w:val="001E78C8"/>
    <w:rsid w:val="001F0C1D"/>
    <w:rsid w:val="001F1132"/>
    <w:rsid w:val="001F1534"/>
    <w:rsid w:val="001F168B"/>
    <w:rsid w:val="001F4795"/>
    <w:rsid w:val="001F4EFD"/>
    <w:rsid w:val="00200761"/>
    <w:rsid w:val="00205685"/>
    <w:rsid w:val="00210943"/>
    <w:rsid w:val="002110E6"/>
    <w:rsid w:val="00211302"/>
    <w:rsid w:val="00217AB6"/>
    <w:rsid w:val="00223E60"/>
    <w:rsid w:val="00224531"/>
    <w:rsid w:val="00224D35"/>
    <w:rsid w:val="00225E3F"/>
    <w:rsid w:val="0022629D"/>
    <w:rsid w:val="0023088C"/>
    <w:rsid w:val="002347A2"/>
    <w:rsid w:val="002371CD"/>
    <w:rsid w:val="002419B9"/>
    <w:rsid w:val="00245AEF"/>
    <w:rsid w:val="0024741D"/>
    <w:rsid w:val="00247926"/>
    <w:rsid w:val="00253356"/>
    <w:rsid w:val="002535FE"/>
    <w:rsid w:val="00254E0F"/>
    <w:rsid w:val="00255247"/>
    <w:rsid w:val="002557C8"/>
    <w:rsid w:val="00257A99"/>
    <w:rsid w:val="002600B9"/>
    <w:rsid w:val="00261DE3"/>
    <w:rsid w:val="00262167"/>
    <w:rsid w:val="002654F1"/>
    <w:rsid w:val="002675F0"/>
    <w:rsid w:val="00276EE4"/>
    <w:rsid w:val="00280618"/>
    <w:rsid w:val="002808D2"/>
    <w:rsid w:val="00281AB7"/>
    <w:rsid w:val="002821E7"/>
    <w:rsid w:val="00285094"/>
    <w:rsid w:val="002868F0"/>
    <w:rsid w:val="00287B8F"/>
    <w:rsid w:val="00292223"/>
    <w:rsid w:val="00295219"/>
    <w:rsid w:val="002A1D5F"/>
    <w:rsid w:val="002A23E7"/>
    <w:rsid w:val="002A4E8C"/>
    <w:rsid w:val="002A5644"/>
    <w:rsid w:val="002A7133"/>
    <w:rsid w:val="002B2D3F"/>
    <w:rsid w:val="002B35C9"/>
    <w:rsid w:val="002B378B"/>
    <w:rsid w:val="002B6339"/>
    <w:rsid w:val="002B7EC9"/>
    <w:rsid w:val="002C5840"/>
    <w:rsid w:val="002C63CC"/>
    <w:rsid w:val="002D16F1"/>
    <w:rsid w:val="002D22D9"/>
    <w:rsid w:val="002D4863"/>
    <w:rsid w:val="002D56F3"/>
    <w:rsid w:val="002D6F19"/>
    <w:rsid w:val="002E00EE"/>
    <w:rsid w:val="002E02CD"/>
    <w:rsid w:val="002F1AB0"/>
    <w:rsid w:val="002F21F4"/>
    <w:rsid w:val="002F2A67"/>
    <w:rsid w:val="002F2F24"/>
    <w:rsid w:val="002F4794"/>
    <w:rsid w:val="002F5216"/>
    <w:rsid w:val="00300668"/>
    <w:rsid w:val="00300ACF"/>
    <w:rsid w:val="00300BA9"/>
    <w:rsid w:val="00301868"/>
    <w:rsid w:val="00302BBC"/>
    <w:rsid w:val="00303F37"/>
    <w:rsid w:val="003046F8"/>
    <w:rsid w:val="00305D70"/>
    <w:rsid w:val="00307031"/>
    <w:rsid w:val="003107C2"/>
    <w:rsid w:val="00313A57"/>
    <w:rsid w:val="003172DC"/>
    <w:rsid w:val="00324314"/>
    <w:rsid w:val="00332D70"/>
    <w:rsid w:val="00333996"/>
    <w:rsid w:val="003348D2"/>
    <w:rsid w:val="00334987"/>
    <w:rsid w:val="0033606D"/>
    <w:rsid w:val="00336438"/>
    <w:rsid w:val="0033652B"/>
    <w:rsid w:val="003378AE"/>
    <w:rsid w:val="0034052F"/>
    <w:rsid w:val="00340556"/>
    <w:rsid w:val="00340CDF"/>
    <w:rsid w:val="0034273B"/>
    <w:rsid w:val="00345425"/>
    <w:rsid w:val="0034735C"/>
    <w:rsid w:val="0035000F"/>
    <w:rsid w:val="003523D8"/>
    <w:rsid w:val="0035462D"/>
    <w:rsid w:val="00356ADD"/>
    <w:rsid w:val="00357075"/>
    <w:rsid w:val="003650C3"/>
    <w:rsid w:val="0036620E"/>
    <w:rsid w:val="00370A9A"/>
    <w:rsid w:val="00371558"/>
    <w:rsid w:val="0037264F"/>
    <w:rsid w:val="00374E2E"/>
    <w:rsid w:val="003765B8"/>
    <w:rsid w:val="00384F83"/>
    <w:rsid w:val="003912EB"/>
    <w:rsid w:val="00391D90"/>
    <w:rsid w:val="00392336"/>
    <w:rsid w:val="00392980"/>
    <w:rsid w:val="003A0483"/>
    <w:rsid w:val="003A408A"/>
    <w:rsid w:val="003B1717"/>
    <w:rsid w:val="003B264E"/>
    <w:rsid w:val="003B313A"/>
    <w:rsid w:val="003B4652"/>
    <w:rsid w:val="003B662D"/>
    <w:rsid w:val="003C1BFF"/>
    <w:rsid w:val="003C208D"/>
    <w:rsid w:val="003C257C"/>
    <w:rsid w:val="003C3971"/>
    <w:rsid w:val="003C3C9E"/>
    <w:rsid w:val="003C4D69"/>
    <w:rsid w:val="003D12B4"/>
    <w:rsid w:val="003D37E2"/>
    <w:rsid w:val="003D4522"/>
    <w:rsid w:val="003E2C78"/>
    <w:rsid w:val="003E3139"/>
    <w:rsid w:val="003E6818"/>
    <w:rsid w:val="003E7753"/>
    <w:rsid w:val="003F07E3"/>
    <w:rsid w:val="003F5675"/>
    <w:rsid w:val="003F6060"/>
    <w:rsid w:val="003F6793"/>
    <w:rsid w:val="0040110C"/>
    <w:rsid w:val="0040183E"/>
    <w:rsid w:val="00402572"/>
    <w:rsid w:val="00402D6C"/>
    <w:rsid w:val="0040522E"/>
    <w:rsid w:val="00406929"/>
    <w:rsid w:val="0041089F"/>
    <w:rsid w:val="00412687"/>
    <w:rsid w:val="0041280B"/>
    <w:rsid w:val="004165BB"/>
    <w:rsid w:val="00423334"/>
    <w:rsid w:val="00424397"/>
    <w:rsid w:val="0042630D"/>
    <w:rsid w:val="0042668D"/>
    <w:rsid w:val="0042695D"/>
    <w:rsid w:val="004273BD"/>
    <w:rsid w:val="00430001"/>
    <w:rsid w:val="00430143"/>
    <w:rsid w:val="00432DF1"/>
    <w:rsid w:val="004345EC"/>
    <w:rsid w:val="00434879"/>
    <w:rsid w:val="0043539B"/>
    <w:rsid w:val="00435B44"/>
    <w:rsid w:val="004406A5"/>
    <w:rsid w:val="00441ED1"/>
    <w:rsid w:val="00442E80"/>
    <w:rsid w:val="004436D8"/>
    <w:rsid w:val="00443B1F"/>
    <w:rsid w:val="004454A5"/>
    <w:rsid w:val="00445952"/>
    <w:rsid w:val="00446EBE"/>
    <w:rsid w:val="00447B7C"/>
    <w:rsid w:val="00447E12"/>
    <w:rsid w:val="00452D22"/>
    <w:rsid w:val="00455635"/>
    <w:rsid w:val="00466AA8"/>
    <w:rsid w:val="00466AB9"/>
    <w:rsid w:val="00472C04"/>
    <w:rsid w:val="004735B3"/>
    <w:rsid w:val="00474601"/>
    <w:rsid w:val="00475109"/>
    <w:rsid w:val="0048182A"/>
    <w:rsid w:val="00481F56"/>
    <w:rsid w:val="004826A9"/>
    <w:rsid w:val="004837BD"/>
    <w:rsid w:val="00485B6A"/>
    <w:rsid w:val="00487424"/>
    <w:rsid w:val="0049016F"/>
    <w:rsid w:val="00492FF7"/>
    <w:rsid w:val="0049650C"/>
    <w:rsid w:val="004A603D"/>
    <w:rsid w:val="004A6B02"/>
    <w:rsid w:val="004B0ECB"/>
    <w:rsid w:val="004B2CBA"/>
    <w:rsid w:val="004B4345"/>
    <w:rsid w:val="004B503E"/>
    <w:rsid w:val="004C15C7"/>
    <w:rsid w:val="004C1601"/>
    <w:rsid w:val="004C21DF"/>
    <w:rsid w:val="004C5265"/>
    <w:rsid w:val="004D15B6"/>
    <w:rsid w:val="004D3578"/>
    <w:rsid w:val="004D6380"/>
    <w:rsid w:val="004E0E90"/>
    <w:rsid w:val="004E213A"/>
    <w:rsid w:val="004E3C97"/>
    <w:rsid w:val="004E6F6A"/>
    <w:rsid w:val="004E7F50"/>
    <w:rsid w:val="004F0988"/>
    <w:rsid w:val="004F3340"/>
    <w:rsid w:val="004F3E3D"/>
    <w:rsid w:val="004F46DD"/>
    <w:rsid w:val="004F6220"/>
    <w:rsid w:val="00500743"/>
    <w:rsid w:val="00503000"/>
    <w:rsid w:val="005032A8"/>
    <w:rsid w:val="00503342"/>
    <w:rsid w:val="005037D3"/>
    <w:rsid w:val="0050596C"/>
    <w:rsid w:val="00506787"/>
    <w:rsid w:val="005145A5"/>
    <w:rsid w:val="005157F0"/>
    <w:rsid w:val="00520120"/>
    <w:rsid w:val="005204B4"/>
    <w:rsid w:val="0052244D"/>
    <w:rsid w:val="0052286C"/>
    <w:rsid w:val="00525B0E"/>
    <w:rsid w:val="005273BE"/>
    <w:rsid w:val="005274EC"/>
    <w:rsid w:val="00530E08"/>
    <w:rsid w:val="0053173F"/>
    <w:rsid w:val="005324C2"/>
    <w:rsid w:val="0053388B"/>
    <w:rsid w:val="0053438A"/>
    <w:rsid w:val="00535773"/>
    <w:rsid w:val="00537C54"/>
    <w:rsid w:val="00542052"/>
    <w:rsid w:val="0054259C"/>
    <w:rsid w:val="00542865"/>
    <w:rsid w:val="00543E6C"/>
    <w:rsid w:val="00551342"/>
    <w:rsid w:val="00554CE1"/>
    <w:rsid w:val="00555534"/>
    <w:rsid w:val="00556496"/>
    <w:rsid w:val="0056116C"/>
    <w:rsid w:val="00562380"/>
    <w:rsid w:val="00562505"/>
    <w:rsid w:val="00562844"/>
    <w:rsid w:val="00565087"/>
    <w:rsid w:val="0057261C"/>
    <w:rsid w:val="00572E14"/>
    <w:rsid w:val="00575F0D"/>
    <w:rsid w:val="00582450"/>
    <w:rsid w:val="00586C16"/>
    <w:rsid w:val="005930E6"/>
    <w:rsid w:val="005973BE"/>
    <w:rsid w:val="005A5986"/>
    <w:rsid w:val="005A63EE"/>
    <w:rsid w:val="005A6FE6"/>
    <w:rsid w:val="005B1F1B"/>
    <w:rsid w:val="005B365D"/>
    <w:rsid w:val="005B3CCF"/>
    <w:rsid w:val="005C2A4F"/>
    <w:rsid w:val="005C30C1"/>
    <w:rsid w:val="005C4000"/>
    <w:rsid w:val="005C422A"/>
    <w:rsid w:val="005C6CA2"/>
    <w:rsid w:val="005C7C46"/>
    <w:rsid w:val="005D2E01"/>
    <w:rsid w:val="005D6CEF"/>
    <w:rsid w:val="005D7526"/>
    <w:rsid w:val="005E4E1C"/>
    <w:rsid w:val="005E69AE"/>
    <w:rsid w:val="005E7E66"/>
    <w:rsid w:val="005F22A6"/>
    <w:rsid w:val="005F4B4C"/>
    <w:rsid w:val="005F4CDD"/>
    <w:rsid w:val="005F613D"/>
    <w:rsid w:val="005F6269"/>
    <w:rsid w:val="005F6DF3"/>
    <w:rsid w:val="005F7BC0"/>
    <w:rsid w:val="006021D4"/>
    <w:rsid w:val="00602AEA"/>
    <w:rsid w:val="006043ED"/>
    <w:rsid w:val="0060672A"/>
    <w:rsid w:val="00607E3C"/>
    <w:rsid w:val="00610C4E"/>
    <w:rsid w:val="00614FDF"/>
    <w:rsid w:val="00616654"/>
    <w:rsid w:val="006169C0"/>
    <w:rsid w:val="00623C82"/>
    <w:rsid w:val="006246A7"/>
    <w:rsid w:val="0062595A"/>
    <w:rsid w:val="00632B45"/>
    <w:rsid w:val="00633224"/>
    <w:rsid w:val="006343D6"/>
    <w:rsid w:val="006344F1"/>
    <w:rsid w:val="0063543D"/>
    <w:rsid w:val="006425C3"/>
    <w:rsid w:val="006426A7"/>
    <w:rsid w:val="00643869"/>
    <w:rsid w:val="006446B1"/>
    <w:rsid w:val="006453C7"/>
    <w:rsid w:val="006459B5"/>
    <w:rsid w:val="00647114"/>
    <w:rsid w:val="00650EB8"/>
    <w:rsid w:val="006552DD"/>
    <w:rsid w:val="00657FE0"/>
    <w:rsid w:val="0066013F"/>
    <w:rsid w:val="00662A4B"/>
    <w:rsid w:val="0066731C"/>
    <w:rsid w:val="00667F98"/>
    <w:rsid w:val="00671ABA"/>
    <w:rsid w:val="006753FB"/>
    <w:rsid w:val="006759E6"/>
    <w:rsid w:val="00675E2D"/>
    <w:rsid w:val="00691B96"/>
    <w:rsid w:val="006A0145"/>
    <w:rsid w:val="006A016F"/>
    <w:rsid w:val="006A1291"/>
    <w:rsid w:val="006A323F"/>
    <w:rsid w:val="006A3C08"/>
    <w:rsid w:val="006A5571"/>
    <w:rsid w:val="006B1A3E"/>
    <w:rsid w:val="006B30D0"/>
    <w:rsid w:val="006B339A"/>
    <w:rsid w:val="006B79CB"/>
    <w:rsid w:val="006C043F"/>
    <w:rsid w:val="006C0AD3"/>
    <w:rsid w:val="006C28A7"/>
    <w:rsid w:val="006C3D95"/>
    <w:rsid w:val="006C638F"/>
    <w:rsid w:val="006C79D3"/>
    <w:rsid w:val="006D11F6"/>
    <w:rsid w:val="006D1E99"/>
    <w:rsid w:val="006D4CE9"/>
    <w:rsid w:val="006D73A8"/>
    <w:rsid w:val="006E3141"/>
    <w:rsid w:val="006E5154"/>
    <w:rsid w:val="006E582E"/>
    <w:rsid w:val="006E5C86"/>
    <w:rsid w:val="006F1736"/>
    <w:rsid w:val="006F71F4"/>
    <w:rsid w:val="007039F8"/>
    <w:rsid w:val="007050B3"/>
    <w:rsid w:val="00705538"/>
    <w:rsid w:val="007059D9"/>
    <w:rsid w:val="007060EB"/>
    <w:rsid w:val="00713AD9"/>
    <w:rsid w:val="00713C44"/>
    <w:rsid w:val="00723A44"/>
    <w:rsid w:val="00724D1D"/>
    <w:rsid w:val="00726A73"/>
    <w:rsid w:val="00734A5B"/>
    <w:rsid w:val="0074026F"/>
    <w:rsid w:val="007420D3"/>
    <w:rsid w:val="007429F6"/>
    <w:rsid w:val="00742B5A"/>
    <w:rsid w:val="00744E76"/>
    <w:rsid w:val="0074723D"/>
    <w:rsid w:val="00752198"/>
    <w:rsid w:val="00753881"/>
    <w:rsid w:val="00753F44"/>
    <w:rsid w:val="00754A6B"/>
    <w:rsid w:val="00756A33"/>
    <w:rsid w:val="00756E2A"/>
    <w:rsid w:val="00757E07"/>
    <w:rsid w:val="007615CA"/>
    <w:rsid w:val="00762483"/>
    <w:rsid w:val="0076512C"/>
    <w:rsid w:val="00767917"/>
    <w:rsid w:val="00771937"/>
    <w:rsid w:val="0077432F"/>
    <w:rsid w:val="00774DA4"/>
    <w:rsid w:val="00777FBD"/>
    <w:rsid w:val="00781F0F"/>
    <w:rsid w:val="00782783"/>
    <w:rsid w:val="007851C1"/>
    <w:rsid w:val="00786D37"/>
    <w:rsid w:val="0079072F"/>
    <w:rsid w:val="00791FEE"/>
    <w:rsid w:val="007A3C7B"/>
    <w:rsid w:val="007A3CE8"/>
    <w:rsid w:val="007B1903"/>
    <w:rsid w:val="007B2F1E"/>
    <w:rsid w:val="007B462B"/>
    <w:rsid w:val="007B4BDA"/>
    <w:rsid w:val="007B600E"/>
    <w:rsid w:val="007B6355"/>
    <w:rsid w:val="007C4A4E"/>
    <w:rsid w:val="007C6A12"/>
    <w:rsid w:val="007C7710"/>
    <w:rsid w:val="007C7F6C"/>
    <w:rsid w:val="007D5172"/>
    <w:rsid w:val="007D53B3"/>
    <w:rsid w:val="007D5A1C"/>
    <w:rsid w:val="007D7C65"/>
    <w:rsid w:val="007D7D88"/>
    <w:rsid w:val="007E2E4B"/>
    <w:rsid w:val="007E3EB8"/>
    <w:rsid w:val="007E6293"/>
    <w:rsid w:val="007E738A"/>
    <w:rsid w:val="007F0F4A"/>
    <w:rsid w:val="008028A4"/>
    <w:rsid w:val="00803440"/>
    <w:rsid w:val="008038C2"/>
    <w:rsid w:val="00810E8D"/>
    <w:rsid w:val="00811EA5"/>
    <w:rsid w:val="008122C2"/>
    <w:rsid w:val="00815588"/>
    <w:rsid w:val="008169B3"/>
    <w:rsid w:val="00817989"/>
    <w:rsid w:val="00820B25"/>
    <w:rsid w:val="00820E0F"/>
    <w:rsid w:val="00821AEF"/>
    <w:rsid w:val="00826E3B"/>
    <w:rsid w:val="00830747"/>
    <w:rsid w:val="00831A72"/>
    <w:rsid w:val="00833358"/>
    <w:rsid w:val="008340FF"/>
    <w:rsid w:val="008346CC"/>
    <w:rsid w:val="008366FC"/>
    <w:rsid w:val="00841896"/>
    <w:rsid w:val="0084389E"/>
    <w:rsid w:val="00843B15"/>
    <w:rsid w:val="00845B02"/>
    <w:rsid w:val="00853468"/>
    <w:rsid w:val="00854DFA"/>
    <w:rsid w:val="008559EF"/>
    <w:rsid w:val="008569D0"/>
    <w:rsid w:val="008574C6"/>
    <w:rsid w:val="00861CEC"/>
    <w:rsid w:val="00863A2E"/>
    <w:rsid w:val="00864E87"/>
    <w:rsid w:val="008768CA"/>
    <w:rsid w:val="0088083B"/>
    <w:rsid w:val="008826B0"/>
    <w:rsid w:val="008A479E"/>
    <w:rsid w:val="008A4AFA"/>
    <w:rsid w:val="008A54F8"/>
    <w:rsid w:val="008A5EFF"/>
    <w:rsid w:val="008B2C72"/>
    <w:rsid w:val="008B2D3A"/>
    <w:rsid w:val="008C0EF3"/>
    <w:rsid w:val="008C1634"/>
    <w:rsid w:val="008C384C"/>
    <w:rsid w:val="008C4A39"/>
    <w:rsid w:val="008D3F18"/>
    <w:rsid w:val="008E112D"/>
    <w:rsid w:val="008E4082"/>
    <w:rsid w:val="008E6604"/>
    <w:rsid w:val="008E734D"/>
    <w:rsid w:val="008E7986"/>
    <w:rsid w:val="008F15A3"/>
    <w:rsid w:val="008F1BA6"/>
    <w:rsid w:val="008F3834"/>
    <w:rsid w:val="008F490D"/>
    <w:rsid w:val="008F4E8B"/>
    <w:rsid w:val="008F6E7F"/>
    <w:rsid w:val="00900AA6"/>
    <w:rsid w:val="00900C26"/>
    <w:rsid w:val="0090104C"/>
    <w:rsid w:val="0090271F"/>
    <w:rsid w:val="00902E23"/>
    <w:rsid w:val="00904160"/>
    <w:rsid w:val="00906915"/>
    <w:rsid w:val="009073D6"/>
    <w:rsid w:val="00910D9E"/>
    <w:rsid w:val="009114D7"/>
    <w:rsid w:val="009125EF"/>
    <w:rsid w:val="0091348E"/>
    <w:rsid w:val="00915D75"/>
    <w:rsid w:val="00917398"/>
    <w:rsid w:val="00917CCB"/>
    <w:rsid w:val="00917D25"/>
    <w:rsid w:val="00920A27"/>
    <w:rsid w:val="00920C83"/>
    <w:rsid w:val="00920DD0"/>
    <w:rsid w:val="009238A8"/>
    <w:rsid w:val="00924DAC"/>
    <w:rsid w:val="00926F97"/>
    <w:rsid w:val="0093020D"/>
    <w:rsid w:val="0093034B"/>
    <w:rsid w:val="00931E75"/>
    <w:rsid w:val="0093257B"/>
    <w:rsid w:val="00933446"/>
    <w:rsid w:val="009349F2"/>
    <w:rsid w:val="00935B71"/>
    <w:rsid w:val="009426F4"/>
    <w:rsid w:val="00942EC2"/>
    <w:rsid w:val="009458FF"/>
    <w:rsid w:val="00947ADF"/>
    <w:rsid w:val="00947F73"/>
    <w:rsid w:val="00951260"/>
    <w:rsid w:val="009518F8"/>
    <w:rsid w:val="009545A1"/>
    <w:rsid w:val="00963CE0"/>
    <w:rsid w:val="009648C8"/>
    <w:rsid w:val="009653C7"/>
    <w:rsid w:val="009654D0"/>
    <w:rsid w:val="00965ADE"/>
    <w:rsid w:val="009670D0"/>
    <w:rsid w:val="00970E90"/>
    <w:rsid w:val="00972872"/>
    <w:rsid w:val="00973019"/>
    <w:rsid w:val="009750A6"/>
    <w:rsid w:val="0097658C"/>
    <w:rsid w:val="009876B4"/>
    <w:rsid w:val="00991277"/>
    <w:rsid w:val="00991C1A"/>
    <w:rsid w:val="00993851"/>
    <w:rsid w:val="009A371E"/>
    <w:rsid w:val="009A758A"/>
    <w:rsid w:val="009B308E"/>
    <w:rsid w:val="009B54B4"/>
    <w:rsid w:val="009C2C1B"/>
    <w:rsid w:val="009C412B"/>
    <w:rsid w:val="009C47B5"/>
    <w:rsid w:val="009D09A9"/>
    <w:rsid w:val="009D181E"/>
    <w:rsid w:val="009E0885"/>
    <w:rsid w:val="009E1B5E"/>
    <w:rsid w:val="009E4AB1"/>
    <w:rsid w:val="009E52C0"/>
    <w:rsid w:val="009F0D9E"/>
    <w:rsid w:val="009F237D"/>
    <w:rsid w:val="009F2F14"/>
    <w:rsid w:val="009F37B7"/>
    <w:rsid w:val="009F4887"/>
    <w:rsid w:val="009F5E43"/>
    <w:rsid w:val="00A00FD0"/>
    <w:rsid w:val="00A03460"/>
    <w:rsid w:val="00A051F0"/>
    <w:rsid w:val="00A07446"/>
    <w:rsid w:val="00A10F02"/>
    <w:rsid w:val="00A152D7"/>
    <w:rsid w:val="00A164B4"/>
    <w:rsid w:val="00A22731"/>
    <w:rsid w:val="00A22938"/>
    <w:rsid w:val="00A241A7"/>
    <w:rsid w:val="00A255D6"/>
    <w:rsid w:val="00A2564E"/>
    <w:rsid w:val="00A26956"/>
    <w:rsid w:val="00A32876"/>
    <w:rsid w:val="00A33664"/>
    <w:rsid w:val="00A33E80"/>
    <w:rsid w:val="00A37271"/>
    <w:rsid w:val="00A41A75"/>
    <w:rsid w:val="00A4303F"/>
    <w:rsid w:val="00A44B59"/>
    <w:rsid w:val="00A47362"/>
    <w:rsid w:val="00A510E4"/>
    <w:rsid w:val="00A52134"/>
    <w:rsid w:val="00A53724"/>
    <w:rsid w:val="00A5526E"/>
    <w:rsid w:val="00A5760B"/>
    <w:rsid w:val="00A6183F"/>
    <w:rsid w:val="00A634C2"/>
    <w:rsid w:val="00A66A04"/>
    <w:rsid w:val="00A73129"/>
    <w:rsid w:val="00A76978"/>
    <w:rsid w:val="00A76F2E"/>
    <w:rsid w:val="00A77110"/>
    <w:rsid w:val="00A82346"/>
    <w:rsid w:val="00A82D1F"/>
    <w:rsid w:val="00A82E7D"/>
    <w:rsid w:val="00A8668F"/>
    <w:rsid w:val="00A9153E"/>
    <w:rsid w:val="00A91EAD"/>
    <w:rsid w:val="00A92BA1"/>
    <w:rsid w:val="00A951A7"/>
    <w:rsid w:val="00AB1652"/>
    <w:rsid w:val="00AB5C31"/>
    <w:rsid w:val="00AB7F3B"/>
    <w:rsid w:val="00AC0039"/>
    <w:rsid w:val="00AC135F"/>
    <w:rsid w:val="00AC3AC2"/>
    <w:rsid w:val="00AC4BA4"/>
    <w:rsid w:val="00AC515C"/>
    <w:rsid w:val="00AC54B7"/>
    <w:rsid w:val="00AC6BC6"/>
    <w:rsid w:val="00AC6D1E"/>
    <w:rsid w:val="00AD2973"/>
    <w:rsid w:val="00AD47EE"/>
    <w:rsid w:val="00AD5C3F"/>
    <w:rsid w:val="00AD5DD7"/>
    <w:rsid w:val="00AD6F06"/>
    <w:rsid w:val="00AE03D3"/>
    <w:rsid w:val="00AE361D"/>
    <w:rsid w:val="00AE3797"/>
    <w:rsid w:val="00AE4939"/>
    <w:rsid w:val="00AE5821"/>
    <w:rsid w:val="00AF36D6"/>
    <w:rsid w:val="00AF42F5"/>
    <w:rsid w:val="00AF4359"/>
    <w:rsid w:val="00AF4FE2"/>
    <w:rsid w:val="00AF5752"/>
    <w:rsid w:val="00B03FD0"/>
    <w:rsid w:val="00B06539"/>
    <w:rsid w:val="00B07507"/>
    <w:rsid w:val="00B10171"/>
    <w:rsid w:val="00B10CD1"/>
    <w:rsid w:val="00B13F54"/>
    <w:rsid w:val="00B15449"/>
    <w:rsid w:val="00B15669"/>
    <w:rsid w:val="00B16019"/>
    <w:rsid w:val="00B16451"/>
    <w:rsid w:val="00B211C1"/>
    <w:rsid w:val="00B264A7"/>
    <w:rsid w:val="00B27217"/>
    <w:rsid w:val="00B27C15"/>
    <w:rsid w:val="00B32270"/>
    <w:rsid w:val="00B3320D"/>
    <w:rsid w:val="00B3654C"/>
    <w:rsid w:val="00B379A7"/>
    <w:rsid w:val="00B4129B"/>
    <w:rsid w:val="00B43A3F"/>
    <w:rsid w:val="00B44E1F"/>
    <w:rsid w:val="00B4615A"/>
    <w:rsid w:val="00B51D01"/>
    <w:rsid w:val="00B5424F"/>
    <w:rsid w:val="00B54EBB"/>
    <w:rsid w:val="00B60B51"/>
    <w:rsid w:val="00B61BF9"/>
    <w:rsid w:val="00B61C24"/>
    <w:rsid w:val="00B61EEA"/>
    <w:rsid w:val="00B620CD"/>
    <w:rsid w:val="00B62DE3"/>
    <w:rsid w:val="00B650A3"/>
    <w:rsid w:val="00B745B2"/>
    <w:rsid w:val="00B75594"/>
    <w:rsid w:val="00B763CA"/>
    <w:rsid w:val="00B774BF"/>
    <w:rsid w:val="00B77748"/>
    <w:rsid w:val="00B81FF3"/>
    <w:rsid w:val="00B826B2"/>
    <w:rsid w:val="00B83171"/>
    <w:rsid w:val="00B8317E"/>
    <w:rsid w:val="00B838F7"/>
    <w:rsid w:val="00B913A1"/>
    <w:rsid w:val="00B92FC7"/>
    <w:rsid w:val="00B93086"/>
    <w:rsid w:val="00B976C4"/>
    <w:rsid w:val="00BA19ED"/>
    <w:rsid w:val="00BA1B6A"/>
    <w:rsid w:val="00BA300B"/>
    <w:rsid w:val="00BA3547"/>
    <w:rsid w:val="00BA4B8D"/>
    <w:rsid w:val="00BA59E2"/>
    <w:rsid w:val="00BA76F9"/>
    <w:rsid w:val="00BA7900"/>
    <w:rsid w:val="00BB57B3"/>
    <w:rsid w:val="00BC0F7D"/>
    <w:rsid w:val="00BC3F3E"/>
    <w:rsid w:val="00BC4103"/>
    <w:rsid w:val="00BC657B"/>
    <w:rsid w:val="00BD07FF"/>
    <w:rsid w:val="00BD31F8"/>
    <w:rsid w:val="00BD69DB"/>
    <w:rsid w:val="00BE2A72"/>
    <w:rsid w:val="00BE3255"/>
    <w:rsid w:val="00BE3B9C"/>
    <w:rsid w:val="00BE6943"/>
    <w:rsid w:val="00BF128E"/>
    <w:rsid w:val="00BF1E1E"/>
    <w:rsid w:val="00C01FDC"/>
    <w:rsid w:val="00C02C5C"/>
    <w:rsid w:val="00C03D11"/>
    <w:rsid w:val="00C054B3"/>
    <w:rsid w:val="00C14737"/>
    <w:rsid w:val="00C1496A"/>
    <w:rsid w:val="00C15F7F"/>
    <w:rsid w:val="00C16AAF"/>
    <w:rsid w:val="00C2281E"/>
    <w:rsid w:val="00C24837"/>
    <w:rsid w:val="00C25701"/>
    <w:rsid w:val="00C26810"/>
    <w:rsid w:val="00C33079"/>
    <w:rsid w:val="00C34DDA"/>
    <w:rsid w:val="00C353F4"/>
    <w:rsid w:val="00C3626F"/>
    <w:rsid w:val="00C367FB"/>
    <w:rsid w:val="00C45231"/>
    <w:rsid w:val="00C52135"/>
    <w:rsid w:val="00C63D49"/>
    <w:rsid w:val="00C72833"/>
    <w:rsid w:val="00C7616D"/>
    <w:rsid w:val="00C805EA"/>
    <w:rsid w:val="00C80F1D"/>
    <w:rsid w:val="00C82174"/>
    <w:rsid w:val="00C83BD4"/>
    <w:rsid w:val="00C93538"/>
    <w:rsid w:val="00C93F40"/>
    <w:rsid w:val="00C95679"/>
    <w:rsid w:val="00C9693D"/>
    <w:rsid w:val="00C969B2"/>
    <w:rsid w:val="00CA3D0C"/>
    <w:rsid w:val="00CA72ED"/>
    <w:rsid w:val="00CA74CE"/>
    <w:rsid w:val="00CB3FB8"/>
    <w:rsid w:val="00CB51CC"/>
    <w:rsid w:val="00CB6F3C"/>
    <w:rsid w:val="00CC59FA"/>
    <w:rsid w:val="00CD0EA6"/>
    <w:rsid w:val="00CD18B1"/>
    <w:rsid w:val="00CD45C9"/>
    <w:rsid w:val="00CD655A"/>
    <w:rsid w:val="00CD79F4"/>
    <w:rsid w:val="00CE355D"/>
    <w:rsid w:val="00CE4C40"/>
    <w:rsid w:val="00CF20E3"/>
    <w:rsid w:val="00CF432C"/>
    <w:rsid w:val="00CF66FA"/>
    <w:rsid w:val="00D008D3"/>
    <w:rsid w:val="00D04514"/>
    <w:rsid w:val="00D05632"/>
    <w:rsid w:val="00D056CA"/>
    <w:rsid w:val="00D06DFD"/>
    <w:rsid w:val="00D0718E"/>
    <w:rsid w:val="00D07C26"/>
    <w:rsid w:val="00D1674E"/>
    <w:rsid w:val="00D17573"/>
    <w:rsid w:val="00D21512"/>
    <w:rsid w:val="00D22C1C"/>
    <w:rsid w:val="00D27BB0"/>
    <w:rsid w:val="00D3057E"/>
    <w:rsid w:val="00D309CC"/>
    <w:rsid w:val="00D36FF0"/>
    <w:rsid w:val="00D40E9C"/>
    <w:rsid w:val="00D41667"/>
    <w:rsid w:val="00D42AC7"/>
    <w:rsid w:val="00D46431"/>
    <w:rsid w:val="00D521A9"/>
    <w:rsid w:val="00D56A52"/>
    <w:rsid w:val="00D57972"/>
    <w:rsid w:val="00D673CA"/>
    <w:rsid w:val="00D675A9"/>
    <w:rsid w:val="00D733D5"/>
    <w:rsid w:val="00D738D6"/>
    <w:rsid w:val="00D755EB"/>
    <w:rsid w:val="00D768E4"/>
    <w:rsid w:val="00D77439"/>
    <w:rsid w:val="00D77CD2"/>
    <w:rsid w:val="00D820C4"/>
    <w:rsid w:val="00D82C13"/>
    <w:rsid w:val="00D83477"/>
    <w:rsid w:val="00D836CB"/>
    <w:rsid w:val="00D857BA"/>
    <w:rsid w:val="00D8640F"/>
    <w:rsid w:val="00D866D7"/>
    <w:rsid w:val="00D8729A"/>
    <w:rsid w:val="00D87497"/>
    <w:rsid w:val="00D877CA"/>
    <w:rsid w:val="00D87E00"/>
    <w:rsid w:val="00D9134D"/>
    <w:rsid w:val="00D93EF3"/>
    <w:rsid w:val="00D970EA"/>
    <w:rsid w:val="00D97FCF"/>
    <w:rsid w:val="00DA14D7"/>
    <w:rsid w:val="00DA27C2"/>
    <w:rsid w:val="00DA2CA4"/>
    <w:rsid w:val="00DA4C84"/>
    <w:rsid w:val="00DA60EC"/>
    <w:rsid w:val="00DA7A03"/>
    <w:rsid w:val="00DB153B"/>
    <w:rsid w:val="00DB1818"/>
    <w:rsid w:val="00DB42E0"/>
    <w:rsid w:val="00DB5EF6"/>
    <w:rsid w:val="00DC2758"/>
    <w:rsid w:val="00DC309B"/>
    <w:rsid w:val="00DC3D44"/>
    <w:rsid w:val="00DC4DA2"/>
    <w:rsid w:val="00DC7727"/>
    <w:rsid w:val="00DD03DF"/>
    <w:rsid w:val="00DD18AC"/>
    <w:rsid w:val="00DD27CF"/>
    <w:rsid w:val="00DD4C17"/>
    <w:rsid w:val="00DD5F57"/>
    <w:rsid w:val="00DE18C7"/>
    <w:rsid w:val="00DE676A"/>
    <w:rsid w:val="00DF1E43"/>
    <w:rsid w:val="00DF259E"/>
    <w:rsid w:val="00DF2649"/>
    <w:rsid w:val="00DF2B1F"/>
    <w:rsid w:val="00DF2E90"/>
    <w:rsid w:val="00DF37FA"/>
    <w:rsid w:val="00DF6189"/>
    <w:rsid w:val="00DF62CD"/>
    <w:rsid w:val="00E00755"/>
    <w:rsid w:val="00E02E2B"/>
    <w:rsid w:val="00E05273"/>
    <w:rsid w:val="00E0679D"/>
    <w:rsid w:val="00E068AE"/>
    <w:rsid w:val="00E07D2B"/>
    <w:rsid w:val="00E100E0"/>
    <w:rsid w:val="00E10257"/>
    <w:rsid w:val="00E144A6"/>
    <w:rsid w:val="00E1558D"/>
    <w:rsid w:val="00E15BCC"/>
    <w:rsid w:val="00E16486"/>
    <w:rsid w:val="00E16509"/>
    <w:rsid w:val="00E22E04"/>
    <w:rsid w:val="00E32A7F"/>
    <w:rsid w:val="00E32E87"/>
    <w:rsid w:val="00E40560"/>
    <w:rsid w:val="00E41341"/>
    <w:rsid w:val="00E44582"/>
    <w:rsid w:val="00E45E4A"/>
    <w:rsid w:val="00E52814"/>
    <w:rsid w:val="00E52EB1"/>
    <w:rsid w:val="00E536AA"/>
    <w:rsid w:val="00E61AA8"/>
    <w:rsid w:val="00E670FF"/>
    <w:rsid w:val="00E72324"/>
    <w:rsid w:val="00E723B3"/>
    <w:rsid w:val="00E72ABE"/>
    <w:rsid w:val="00E77645"/>
    <w:rsid w:val="00E77D4C"/>
    <w:rsid w:val="00E84530"/>
    <w:rsid w:val="00E87309"/>
    <w:rsid w:val="00E87A96"/>
    <w:rsid w:val="00EA38BE"/>
    <w:rsid w:val="00EA3BA5"/>
    <w:rsid w:val="00EB22F4"/>
    <w:rsid w:val="00EB3105"/>
    <w:rsid w:val="00EC063B"/>
    <w:rsid w:val="00EC3517"/>
    <w:rsid w:val="00EC454E"/>
    <w:rsid w:val="00EC479D"/>
    <w:rsid w:val="00EC4A25"/>
    <w:rsid w:val="00ED1F28"/>
    <w:rsid w:val="00ED2E9E"/>
    <w:rsid w:val="00EE0D55"/>
    <w:rsid w:val="00EE2719"/>
    <w:rsid w:val="00EE4AD0"/>
    <w:rsid w:val="00EE57BC"/>
    <w:rsid w:val="00EE5AA7"/>
    <w:rsid w:val="00EF06C3"/>
    <w:rsid w:val="00EF433E"/>
    <w:rsid w:val="00EF45DD"/>
    <w:rsid w:val="00EF4B21"/>
    <w:rsid w:val="00F025A2"/>
    <w:rsid w:val="00F027A2"/>
    <w:rsid w:val="00F0286F"/>
    <w:rsid w:val="00F02DD4"/>
    <w:rsid w:val="00F03D8B"/>
    <w:rsid w:val="00F04712"/>
    <w:rsid w:val="00F04A63"/>
    <w:rsid w:val="00F04B7B"/>
    <w:rsid w:val="00F0567B"/>
    <w:rsid w:val="00F064C8"/>
    <w:rsid w:val="00F07B00"/>
    <w:rsid w:val="00F1084D"/>
    <w:rsid w:val="00F12C7B"/>
    <w:rsid w:val="00F1639A"/>
    <w:rsid w:val="00F176D4"/>
    <w:rsid w:val="00F176FA"/>
    <w:rsid w:val="00F20DA5"/>
    <w:rsid w:val="00F21311"/>
    <w:rsid w:val="00F21696"/>
    <w:rsid w:val="00F22EC7"/>
    <w:rsid w:val="00F2340C"/>
    <w:rsid w:val="00F24231"/>
    <w:rsid w:val="00F250BE"/>
    <w:rsid w:val="00F25534"/>
    <w:rsid w:val="00F260A8"/>
    <w:rsid w:val="00F267B8"/>
    <w:rsid w:val="00F3025B"/>
    <w:rsid w:val="00F31878"/>
    <w:rsid w:val="00F31A38"/>
    <w:rsid w:val="00F325C8"/>
    <w:rsid w:val="00F3263B"/>
    <w:rsid w:val="00F33616"/>
    <w:rsid w:val="00F34358"/>
    <w:rsid w:val="00F3530D"/>
    <w:rsid w:val="00F3650D"/>
    <w:rsid w:val="00F40BE4"/>
    <w:rsid w:val="00F417A1"/>
    <w:rsid w:val="00F538FE"/>
    <w:rsid w:val="00F5593C"/>
    <w:rsid w:val="00F55E63"/>
    <w:rsid w:val="00F561B1"/>
    <w:rsid w:val="00F5710A"/>
    <w:rsid w:val="00F614F2"/>
    <w:rsid w:val="00F61745"/>
    <w:rsid w:val="00F62AEB"/>
    <w:rsid w:val="00F63841"/>
    <w:rsid w:val="00F64730"/>
    <w:rsid w:val="00F653B8"/>
    <w:rsid w:val="00F70647"/>
    <w:rsid w:val="00F751D9"/>
    <w:rsid w:val="00F75917"/>
    <w:rsid w:val="00F82261"/>
    <w:rsid w:val="00F845F1"/>
    <w:rsid w:val="00F94A52"/>
    <w:rsid w:val="00FA1266"/>
    <w:rsid w:val="00FA2910"/>
    <w:rsid w:val="00FA65D0"/>
    <w:rsid w:val="00FB40BC"/>
    <w:rsid w:val="00FB4CD6"/>
    <w:rsid w:val="00FB56EC"/>
    <w:rsid w:val="00FC1192"/>
    <w:rsid w:val="00FC11FC"/>
    <w:rsid w:val="00FC41AB"/>
    <w:rsid w:val="00FC671A"/>
    <w:rsid w:val="00FD1E6E"/>
    <w:rsid w:val="00FD2E2F"/>
    <w:rsid w:val="00FD3696"/>
    <w:rsid w:val="00FE2A7F"/>
    <w:rsid w:val="00FE59EB"/>
    <w:rsid w:val="00FF036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2A1D5F"/>
    <w:pPr>
      <w:tabs>
        <w:tab w:val="left" w:pos="720"/>
      </w:tabs>
      <w:overflowPunct w:val="0"/>
      <w:autoSpaceDE w:val="0"/>
      <w:autoSpaceDN w:val="0"/>
      <w:adjustRightInd w:val="0"/>
      <w:spacing w:after="180"/>
      <w:ind w:leftChars="2500" w:left="100"/>
    </w:pPr>
    <w:rPr>
      <w:sz w:val="20"/>
      <w:szCs w:val="20"/>
      <w:lang w:val="en-GB" w:eastAsia="en-US"/>
    </w:rPr>
  </w:style>
  <w:style w:type="character" w:customStyle="1" w:styleId="DateChar">
    <w:name w:val="Date Char"/>
    <w:basedOn w:val="DefaultParagraphFont"/>
    <w:link w:val="Date"/>
    <w:uiPriority w:val="99"/>
    <w:qFormat/>
    <w:rsid w:val="002A1D5F"/>
    <w:rPr>
      <w:lang w:eastAsia="en-US"/>
    </w:rPr>
  </w:style>
  <w:style w:type="numbering" w:customStyle="1" w:styleId="CurrentList1">
    <w:name w:val="Current List1"/>
    <w:uiPriority w:val="99"/>
    <w:rsid w:val="002A23E7"/>
    <w:pPr>
      <w:numPr>
        <w:numId w:val="48"/>
      </w:numPr>
    </w:pPr>
  </w:style>
  <w:style w:type="numbering" w:customStyle="1" w:styleId="CurrentList2">
    <w:name w:val="Current List2"/>
    <w:uiPriority w:val="99"/>
    <w:rsid w:val="002A23E7"/>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46260573">
      <w:bodyDiv w:val="1"/>
      <w:marLeft w:val="0"/>
      <w:marRight w:val="0"/>
      <w:marTop w:val="0"/>
      <w:marBottom w:val="0"/>
      <w:divBdr>
        <w:top w:val="none" w:sz="0" w:space="0" w:color="auto"/>
        <w:left w:val="none" w:sz="0" w:space="0" w:color="auto"/>
        <w:bottom w:val="none" w:sz="0" w:space="0" w:color="auto"/>
        <w:right w:val="none" w:sz="0" w:space="0" w:color="auto"/>
      </w:divBdr>
      <w:divsChild>
        <w:div w:id="1778790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3589724">
              <w:marLeft w:val="0"/>
              <w:marRight w:val="0"/>
              <w:marTop w:val="0"/>
              <w:marBottom w:val="0"/>
              <w:divBdr>
                <w:top w:val="none" w:sz="0" w:space="0" w:color="auto"/>
                <w:left w:val="none" w:sz="0" w:space="0" w:color="auto"/>
                <w:bottom w:val="none" w:sz="0" w:space="0" w:color="auto"/>
                <w:right w:val="none" w:sz="0" w:space="0" w:color="auto"/>
              </w:divBdr>
              <w:divsChild>
                <w:div w:id="1290668786">
                  <w:marLeft w:val="0"/>
                  <w:marRight w:val="0"/>
                  <w:marTop w:val="0"/>
                  <w:marBottom w:val="0"/>
                  <w:divBdr>
                    <w:top w:val="none" w:sz="0" w:space="0" w:color="auto"/>
                    <w:left w:val="none" w:sz="0" w:space="0" w:color="auto"/>
                    <w:bottom w:val="none" w:sz="0" w:space="0" w:color="auto"/>
                    <w:right w:val="none" w:sz="0" w:space="0" w:color="auto"/>
                  </w:divBdr>
                  <w:divsChild>
                    <w:div w:id="206471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1785</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4</cp:revision>
  <cp:lastPrinted>2019-02-25T14:05:00Z</cp:lastPrinted>
  <dcterms:created xsi:type="dcterms:W3CDTF">2025-11-07T20:26:00Z</dcterms:created>
  <dcterms:modified xsi:type="dcterms:W3CDTF">2025-11-07T20:27:00Z</dcterms:modified>
  <cp:category/>
</cp:coreProperties>
</file>